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1EB8" w14:textId="0CD72BAC" w:rsidR="00D22554" w:rsidRDefault="00D22554" w:rsidP="00D22554">
      <w:pPr>
        <w:pStyle w:val="Cm"/>
        <w:rPr>
          <w:sz w:val="36"/>
        </w:rPr>
      </w:pPr>
      <w:r w:rsidRPr="006A495C">
        <w:rPr>
          <w:sz w:val="36"/>
        </w:rPr>
        <w:t>Előterjesztés</w:t>
      </w:r>
    </w:p>
    <w:p w14:paraId="50F660D8" w14:textId="77777777" w:rsidR="00D22554" w:rsidRPr="006A495C" w:rsidRDefault="00D22554" w:rsidP="00D22554">
      <w:pPr>
        <w:jc w:val="center"/>
        <w:rPr>
          <w:b/>
          <w:smallCaps/>
          <w:sz w:val="32"/>
          <w:u w:val="single"/>
        </w:rPr>
      </w:pPr>
    </w:p>
    <w:p w14:paraId="16EE1CCE" w14:textId="77777777" w:rsidR="00D22554" w:rsidRPr="006A495C" w:rsidRDefault="00D22554" w:rsidP="00D22554">
      <w:pPr>
        <w:jc w:val="center"/>
        <w:rPr>
          <w:sz w:val="28"/>
        </w:rPr>
      </w:pPr>
      <w:r w:rsidRPr="006A495C">
        <w:rPr>
          <w:sz w:val="28"/>
        </w:rPr>
        <w:t>Tiszavasvári Város Önkormányzata Képviselő-testülete</w:t>
      </w:r>
    </w:p>
    <w:p w14:paraId="47D3D89D" w14:textId="4C9D3B90" w:rsidR="00D22554" w:rsidRPr="006A495C" w:rsidRDefault="00D22554" w:rsidP="00D22554">
      <w:pPr>
        <w:jc w:val="center"/>
        <w:rPr>
          <w:color w:val="FF0000"/>
          <w:sz w:val="28"/>
        </w:rPr>
      </w:pPr>
      <w:r w:rsidRPr="006A495C">
        <w:rPr>
          <w:sz w:val="28"/>
        </w:rPr>
        <w:t>20</w:t>
      </w:r>
      <w:r w:rsidR="00700F79">
        <w:rPr>
          <w:sz w:val="28"/>
        </w:rPr>
        <w:t>2</w:t>
      </w:r>
      <w:r w:rsidR="00564E95">
        <w:rPr>
          <w:sz w:val="28"/>
        </w:rPr>
        <w:t>5</w:t>
      </w:r>
      <w:r w:rsidRPr="006A495C">
        <w:rPr>
          <w:sz w:val="28"/>
        </w:rPr>
        <w:t>.</w:t>
      </w:r>
      <w:r w:rsidR="00027BC7">
        <w:rPr>
          <w:sz w:val="28"/>
        </w:rPr>
        <w:t xml:space="preserve"> </w:t>
      </w:r>
      <w:r w:rsidR="00F15EE8">
        <w:rPr>
          <w:sz w:val="28"/>
        </w:rPr>
        <w:t>október</w:t>
      </w:r>
      <w:r w:rsidR="00564E95">
        <w:rPr>
          <w:sz w:val="28"/>
        </w:rPr>
        <w:t xml:space="preserve"> </w:t>
      </w:r>
      <w:r w:rsidR="001A2A4B">
        <w:rPr>
          <w:sz w:val="28"/>
        </w:rPr>
        <w:t>29</w:t>
      </w:r>
      <w:r w:rsidRPr="006A495C">
        <w:rPr>
          <w:sz w:val="28"/>
        </w:rPr>
        <w:t>-</w:t>
      </w:r>
      <w:r w:rsidR="001A2A4B">
        <w:rPr>
          <w:sz w:val="28"/>
        </w:rPr>
        <w:t>é</w:t>
      </w:r>
      <w:r w:rsidRPr="006A495C">
        <w:rPr>
          <w:sz w:val="28"/>
        </w:rPr>
        <w:t>n</w:t>
      </w:r>
    </w:p>
    <w:p w14:paraId="2529C758" w14:textId="588045FF" w:rsidR="00D22554" w:rsidRPr="006A495C" w:rsidRDefault="00D22554" w:rsidP="00D22554">
      <w:pPr>
        <w:jc w:val="center"/>
      </w:pPr>
      <w:r w:rsidRPr="006A495C">
        <w:rPr>
          <w:sz w:val="28"/>
        </w:rPr>
        <w:t>tartandó</w:t>
      </w:r>
      <w:r w:rsidR="0017709A">
        <w:rPr>
          <w:sz w:val="28"/>
        </w:rPr>
        <w:t xml:space="preserve"> rend</w:t>
      </w:r>
      <w:r w:rsidR="000D2FC7">
        <w:rPr>
          <w:sz w:val="28"/>
        </w:rPr>
        <w:t>es</w:t>
      </w:r>
      <w:r w:rsidR="0017709A">
        <w:rPr>
          <w:sz w:val="28"/>
        </w:rPr>
        <w:t xml:space="preserve"> </w:t>
      </w:r>
      <w:r w:rsidRPr="006A495C">
        <w:rPr>
          <w:sz w:val="28"/>
        </w:rPr>
        <w:t>ülésére</w:t>
      </w:r>
    </w:p>
    <w:p w14:paraId="4B906A55" w14:textId="77777777" w:rsidR="00D22554" w:rsidRPr="006A495C" w:rsidRDefault="00D22554" w:rsidP="00D22554">
      <w:pPr>
        <w:tabs>
          <w:tab w:val="left" w:pos="3686"/>
        </w:tabs>
        <w:ind w:left="3545" w:hanging="3545"/>
        <w:rPr>
          <w:u w:val="single"/>
        </w:rPr>
      </w:pPr>
    </w:p>
    <w:p w14:paraId="7E4C2886" w14:textId="77B5ADCC" w:rsidR="00D22554" w:rsidRPr="006A495C" w:rsidRDefault="00D22554" w:rsidP="00D22554">
      <w:pPr>
        <w:tabs>
          <w:tab w:val="left" w:pos="3544"/>
        </w:tabs>
        <w:ind w:left="3540" w:hanging="3540"/>
        <w:rPr>
          <w:u w:val="single"/>
        </w:rPr>
      </w:pPr>
      <w:r w:rsidRPr="006A495C">
        <w:rPr>
          <w:u w:val="single"/>
        </w:rPr>
        <w:t>Az előterjesztés tárgya:</w:t>
      </w:r>
      <w:r w:rsidRPr="006A495C">
        <w:rPr>
          <w:b/>
        </w:rPr>
        <w:tab/>
        <w:t>Tiszavasvári Város Önkormányzata 202</w:t>
      </w:r>
      <w:r w:rsidR="00564E95">
        <w:rPr>
          <w:b/>
        </w:rPr>
        <w:t>5</w:t>
      </w:r>
      <w:r w:rsidRPr="006A495C">
        <w:rPr>
          <w:b/>
        </w:rPr>
        <w:t xml:space="preserve">. évi költségvetéséről szóló </w:t>
      </w:r>
      <w:r w:rsidR="00564E95">
        <w:rPr>
          <w:b/>
        </w:rPr>
        <w:t>2</w:t>
      </w:r>
      <w:r w:rsidRPr="006A495C">
        <w:rPr>
          <w:b/>
        </w:rPr>
        <w:t>/202</w:t>
      </w:r>
      <w:r w:rsidR="00564E95">
        <w:rPr>
          <w:b/>
        </w:rPr>
        <w:t>5</w:t>
      </w:r>
      <w:r w:rsidRPr="006A495C">
        <w:rPr>
          <w:b/>
        </w:rPr>
        <w:t>.(II.</w:t>
      </w:r>
      <w:r w:rsidR="00564E95">
        <w:rPr>
          <w:b/>
        </w:rPr>
        <w:t>21</w:t>
      </w:r>
      <w:r w:rsidRPr="006A495C">
        <w:rPr>
          <w:b/>
        </w:rPr>
        <w:t>.) önkormányzati rendeletének módosításáról</w:t>
      </w:r>
    </w:p>
    <w:p w14:paraId="4ABBA13A" w14:textId="77777777" w:rsidR="00D22554" w:rsidRPr="006A495C" w:rsidRDefault="00D22554" w:rsidP="00D22554">
      <w:pPr>
        <w:rPr>
          <w:u w:val="single"/>
        </w:rPr>
      </w:pPr>
    </w:p>
    <w:p w14:paraId="1B25145A" w14:textId="52CD0B8E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Melléklet</w:t>
      </w:r>
      <w:r w:rsidRPr="000D2FC7">
        <w:rPr>
          <w:u w:val="single"/>
        </w:rPr>
        <w:t>:</w:t>
      </w:r>
      <w:r w:rsidRPr="000D2FC7">
        <w:t xml:space="preserve">                                           </w:t>
      </w:r>
      <w:r w:rsidR="00C15B2B" w:rsidRPr="000D2FC7">
        <w:t>a rendelettervezet mellékletei</w:t>
      </w:r>
    </w:p>
    <w:p w14:paraId="788A71D8" w14:textId="77777777" w:rsidR="00D22554" w:rsidRPr="006A495C" w:rsidRDefault="00D22554" w:rsidP="00601647">
      <w:pPr>
        <w:tabs>
          <w:tab w:val="left" w:pos="3969"/>
        </w:tabs>
        <w:ind w:left="0"/>
      </w:pPr>
    </w:p>
    <w:p w14:paraId="723E71AA" w14:textId="27E5CF6D" w:rsidR="00D22554" w:rsidRPr="006A495C" w:rsidRDefault="00D22554" w:rsidP="00601647">
      <w:pPr>
        <w:ind w:left="0"/>
      </w:pPr>
      <w:r w:rsidRPr="006A495C">
        <w:rPr>
          <w:u w:val="single"/>
        </w:rPr>
        <w:t>Az előterjesztés előadója:</w:t>
      </w:r>
      <w:r w:rsidRPr="006A495C">
        <w:t xml:space="preserve">                  </w:t>
      </w:r>
      <w:r w:rsidR="00564E95">
        <w:t>Balázsi Csilla</w:t>
      </w:r>
      <w:r w:rsidRPr="006A495C">
        <w:t xml:space="preserve"> polgármester</w:t>
      </w:r>
    </w:p>
    <w:p w14:paraId="609B6CE2" w14:textId="77777777" w:rsidR="00D22554" w:rsidRPr="006A495C" w:rsidRDefault="00D22554" w:rsidP="00601647">
      <w:pPr>
        <w:ind w:left="0"/>
        <w:rPr>
          <w:u w:val="single"/>
        </w:rPr>
      </w:pPr>
    </w:p>
    <w:p w14:paraId="45AD0A1F" w14:textId="7E838526" w:rsidR="00D22554" w:rsidRPr="006A495C" w:rsidRDefault="00D22554" w:rsidP="00601647">
      <w:pPr>
        <w:ind w:left="0"/>
      </w:pPr>
      <w:r w:rsidRPr="006A495C">
        <w:rPr>
          <w:u w:val="single"/>
        </w:rPr>
        <w:t>Az előterjesztés témafelelőse:</w:t>
      </w:r>
      <w:r w:rsidRPr="006A495C">
        <w:t xml:space="preserve">           </w:t>
      </w:r>
      <w:r w:rsidR="00B56B9C">
        <w:t>Köblös Máté</w:t>
      </w:r>
    </w:p>
    <w:p w14:paraId="1A6A0FF2" w14:textId="77777777" w:rsidR="00D22554" w:rsidRPr="006A495C" w:rsidRDefault="00D22554" w:rsidP="00601647">
      <w:pPr>
        <w:ind w:left="0"/>
      </w:pPr>
    </w:p>
    <w:p w14:paraId="71F271BB" w14:textId="574F3B90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Az előterjesztés ügyiratszáma</w:t>
      </w:r>
      <w:r w:rsidRPr="006A495C">
        <w:t>:          TPH/</w:t>
      </w:r>
      <w:r w:rsidR="00C240C3">
        <w:t>7008-</w:t>
      </w:r>
      <w:r w:rsidR="00CB7989">
        <w:t>5</w:t>
      </w:r>
      <w:r w:rsidR="00C240C3">
        <w:t>/</w:t>
      </w:r>
      <w:r w:rsidR="000C24FB">
        <w:t>20</w:t>
      </w:r>
      <w:r w:rsidRPr="006A495C">
        <w:t>2</w:t>
      </w:r>
      <w:r w:rsidR="00C240C3">
        <w:t>5</w:t>
      </w:r>
    </w:p>
    <w:p w14:paraId="7D020353" w14:textId="77777777" w:rsidR="00D22554" w:rsidRPr="006A495C" w:rsidRDefault="00D22554" w:rsidP="00601647">
      <w:pPr>
        <w:ind w:left="0"/>
        <w:rPr>
          <w:u w:val="single"/>
        </w:rPr>
      </w:pPr>
    </w:p>
    <w:p w14:paraId="514672AC" w14:textId="77777777" w:rsidR="00D22554" w:rsidRPr="006A495C" w:rsidRDefault="00D22554" w:rsidP="00601647">
      <w:pPr>
        <w:ind w:left="0"/>
        <w:rPr>
          <w:u w:val="single"/>
        </w:rPr>
      </w:pPr>
    </w:p>
    <w:p w14:paraId="16AA2381" w14:textId="77777777" w:rsidR="00D22554" w:rsidRPr="006A495C" w:rsidRDefault="00D22554" w:rsidP="00601647">
      <w:pPr>
        <w:ind w:left="0"/>
        <w:rPr>
          <w:u w:val="single"/>
        </w:rPr>
      </w:pPr>
      <w:r w:rsidRPr="006A495C">
        <w:rPr>
          <w:u w:val="single"/>
        </w:rPr>
        <w:t>Az előterjesztést véleményező bizottságok a hatáskör megjelölésével:</w:t>
      </w:r>
    </w:p>
    <w:p w14:paraId="6B21F2AA" w14:textId="77777777" w:rsidR="00A93BD4" w:rsidRPr="006A495C" w:rsidRDefault="00A93BD4" w:rsidP="00D745C1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6A495C" w14:paraId="58D148C9" w14:textId="77777777" w:rsidTr="008B6DFC">
        <w:trPr>
          <w:jc w:val="center"/>
        </w:trPr>
        <w:tc>
          <w:tcPr>
            <w:tcW w:w="4606" w:type="dxa"/>
          </w:tcPr>
          <w:p w14:paraId="10675EA5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Bizottság</w:t>
            </w:r>
          </w:p>
        </w:tc>
        <w:tc>
          <w:tcPr>
            <w:tcW w:w="4606" w:type="dxa"/>
          </w:tcPr>
          <w:p w14:paraId="68A68F38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Hatáskör</w:t>
            </w:r>
          </w:p>
        </w:tc>
      </w:tr>
      <w:tr w:rsidR="002D0086" w:rsidRPr="006A495C" w14:paraId="4D539964" w14:textId="77777777" w:rsidTr="008B6DFC">
        <w:trPr>
          <w:jc w:val="center"/>
        </w:trPr>
        <w:tc>
          <w:tcPr>
            <w:tcW w:w="4606" w:type="dxa"/>
          </w:tcPr>
          <w:p w14:paraId="6FE22101" w14:textId="6C6C52BB" w:rsidR="002D0086" w:rsidRPr="006A495C" w:rsidRDefault="002D0086" w:rsidP="002D0086">
            <w:pPr>
              <w:ind w:left="0"/>
            </w:pPr>
            <w:r w:rsidRPr="006A495C">
              <w:t>Pénzügyi és Ügyrendi Bizottság</w:t>
            </w:r>
          </w:p>
        </w:tc>
        <w:tc>
          <w:tcPr>
            <w:tcW w:w="4606" w:type="dxa"/>
          </w:tcPr>
          <w:p w14:paraId="51192956" w14:textId="3EA4F4CA" w:rsidR="002D0086" w:rsidRPr="006A495C" w:rsidRDefault="002D0086" w:rsidP="002D0086">
            <w:pPr>
              <w:ind w:left="0"/>
            </w:pPr>
            <w:r w:rsidRPr="006A495C">
              <w:t>SZMSZ 3. melléklet 2.1 pont</w:t>
            </w:r>
          </w:p>
        </w:tc>
      </w:tr>
      <w:tr w:rsidR="002D0086" w:rsidRPr="006A495C" w14:paraId="442A767D" w14:textId="77777777" w:rsidTr="008B6DFC">
        <w:trPr>
          <w:jc w:val="center"/>
        </w:trPr>
        <w:tc>
          <w:tcPr>
            <w:tcW w:w="4606" w:type="dxa"/>
          </w:tcPr>
          <w:p w14:paraId="1B30604E" w14:textId="3EFEB425" w:rsidR="002D0086" w:rsidRPr="006A495C" w:rsidRDefault="002D0086" w:rsidP="002D0086">
            <w:pPr>
              <w:tabs>
                <w:tab w:val="left" w:pos="1060"/>
              </w:tabs>
              <w:ind w:left="0"/>
            </w:pPr>
            <w:r w:rsidRPr="006A495C">
              <w:t>Szociális és Humán Bizottság</w:t>
            </w:r>
          </w:p>
        </w:tc>
        <w:tc>
          <w:tcPr>
            <w:tcW w:w="4606" w:type="dxa"/>
          </w:tcPr>
          <w:p w14:paraId="29EB550C" w14:textId="28E863AF" w:rsidR="002D0086" w:rsidRPr="006A495C" w:rsidRDefault="002D0086" w:rsidP="002D0086">
            <w:pPr>
              <w:ind w:left="0"/>
            </w:pPr>
            <w:r w:rsidRPr="006A495C">
              <w:t>SZMSZ 3. melléklet 2.1 pont</w:t>
            </w:r>
          </w:p>
        </w:tc>
      </w:tr>
    </w:tbl>
    <w:p w14:paraId="4C95FF88" w14:textId="77777777" w:rsidR="00A93BD4" w:rsidRPr="006A495C" w:rsidRDefault="00A93BD4" w:rsidP="00D745C1"/>
    <w:p w14:paraId="3178E37E" w14:textId="77777777" w:rsidR="00A93BD4" w:rsidRPr="006A495C" w:rsidRDefault="00A93BD4" w:rsidP="00A411BC">
      <w:pPr>
        <w:ind w:left="0"/>
        <w:jc w:val="left"/>
        <w:rPr>
          <w:u w:val="single"/>
        </w:rPr>
      </w:pPr>
      <w:r w:rsidRPr="006A495C">
        <w:rPr>
          <w:u w:val="single"/>
        </w:rPr>
        <w:t>Az ülésre meghívni javasolt szervek, személyek:</w:t>
      </w:r>
    </w:p>
    <w:p w14:paraId="05BC1F82" w14:textId="77777777" w:rsidR="00A93BD4" w:rsidRPr="006A495C" w:rsidRDefault="00A93BD4" w:rsidP="00D745C1"/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74"/>
      </w:tblGrid>
      <w:tr w:rsidR="00FA276C" w:rsidRPr="006A495C" w14:paraId="06ABD4B8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28A27" w14:textId="17096171" w:rsidR="00FA276C" w:rsidRPr="006A495C" w:rsidRDefault="000E0046" w:rsidP="00FA276C">
            <w:pPr>
              <w:ind w:left="0"/>
            </w:pPr>
            <w:r w:rsidRPr="006A495C">
              <w:t>Kulcsár Lászlóné intézményvezető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D00A" w14:textId="37C0BA83" w:rsidR="00FA276C" w:rsidRPr="002147CC" w:rsidRDefault="000E0046" w:rsidP="00FA276C">
            <w:pPr>
              <w:ind w:left="0"/>
            </w:pPr>
            <w:r w:rsidRPr="006A495C">
              <w:t>vktiszavasvari@gmail.com</w:t>
            </w:r>
          </w:p>
        </w:tc>
      </w:tr>
      <w:tr w:rsidR="00CB7989" w:rsidRPr="006A495C" w14:paraId="4F178ACC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C5C75" w14:textId="583BE8C9" w:rsidR="00CB7989" w:rsidRPr="006A495C" w:rsidRDefault="00CB7989" w:rsidP="00CB7989">
            <w:pPr>
              <w:ind w:left="0"/>
            </w:pPr>
            <w:r>
              <w:t>Moravszki Zsoltné igazgató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9E2A" w14:textId="571521A7" w:rsidR="00CB7989" w:rsidRPr="002147CC" w:rsidRDefault="00CB7989" w:rsidP="00CB7989">
            <w:pPr>
              <w:ind w:left="0"/>
            </w:pPr>
            <w:r>
              <w:t>ekaovoda@tiszavasvari.hu</w:t>
            </w:r>
          </w:p>
        </w:tc>
      </w:tr>
      <w:tr w:rsidR="00CB7989" w:rsidRPr="006A495C" w14:paraId="0AB83A48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</w:tcPr>
          <w:p w14:paraId="55349045" w14:textId="3F50AD59" w:rsidR="00CB7989" w:rsidRPr="006A495C" w:rsidRDefault="00CB7989" w:rsidP="00CB7989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90F0" w14:textId="4C0A399A" w:rsidR="00CB7989" w:rsidRPr="002147CC" w:rsidRDefault="00CB7989" w:rsidP="00CB7989">
            <w:pPr>
              <w:ind w:left="0"/>
            </w:pPr>
          </w:p>
        </w:tc>
      </w:tr>
      <w:tr w:rsidR="00CB7989" w:rsidRPr="006A495C" w14:paraId="49CDED12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auto"/>
            </w:tcBorders>
          </w:tcPr>
          <w:p w14:paraId="58A08FA1" w14:textId="32121446" w:rsidR="00CB7989" w:rsidRPr="006A495C" w:rsidRDefault="00CB7989" w:rsidP="00CB7989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B30B87" w14:textId="15171876" w:rsidR="00CB7989" w:rsidRPr="006A495C" w:rsidRDefault="00CB7989" w:rsidP="00CB7989">
            <w:pPr>
              <w:ind w:left="0"/>
            </w:pPr>
          </w:p>
        </w:tc>
      </w:tr>
      <w:tr w:rsidR="00CB7989" w:rsidRPr="006A495C" w14:paraId="1597E60F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C0C99C3" w14:textId="7AA09E1D" w:rsidR="00CB7989" w:rsidRPr="006A495C" w:rsidRDefault="00CB7989" w:rsidP="00CB7989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BFF6" w14:textId="7EDEB2D2" w:rsidR="00CB7989" w:rsidRPr="006A495C" w:rsidRDefault="00CB7989" w:rsidP="00CB7989">
            <w:pPr>
              <w:ind w:left="0"/>
            </w:pPr>
          </w:p>
        </w:tc>
      </w:tr>
    </w:tbl>
    <w:p w14:paraId="21A6B9A7" w14:textId="77777777" w:rsidR="00A93BD4" w:rsidRPr="006A495C" w:rsidRDefault="00A93BD4" w:rsidP="00D745C1"/>
    <w:p w14:paraId="4CDD0D51" w14:textId="77777777" w:rsidR="00601647" w:rsidRPr="006A495C" w:rsidRDefault="00601647" w:rsidP="00601647">
      <w:pPr>
        <w:ind w:left="0"/>
        <w:rPr>
          <w:u w:val="single"/>
        </w:rPr>
      </w:pPr>
      <w:r w:rsidRPr="006A495C">
        <w:rPr>
          <w:u w:val="single"/>
        </w:rPr>
        <w:t>Egyéb megjegyzés:</w:t>
      </w:r>
    </w:p>
    <w:p w14:paraId="5754CDCB" w14:textId="77777777" w:rsidR="00601647" w:rsidRPr="006A495C" w:rsidRDefault="00601647" w:rsidP="00601647">
      <w:pPr>
        <w:rPr>
          <w:u w:val="single"/>
        </w:rPr>
      </w:pPr>
    </w:p>
    <w:p w14:paraId="6B67B7C4" w14:textId="77777777" w:rsidR="00601647" w:rsidRPr="006A495C" w:rsidRDefault="00601647" w:rsidP="00601647">
      <w:pPr>
        <w:pStyle w:val="Szvegtrzs"/>
      </w:pPr>
    </w:p>
    <w:p w14:paraId="6D9D81F2" w14:textId="1ED632DB" w:rsidR="00601647" w:rsidRDefault="008C7969" w:rsidP="00700F79">
      <w:pPr>
        <w:pStyle w:val="Szvegtrzs"/>
      </w:pPr>
      <w:r>
        <w:t>Tiszavasvári, 202</w:t>
      </w:r>
      <w:r w:rsidR="00564E95">
        <w:t>5</w:t>
      </w:r>
      <w:r>
        <w:t xml:space="preserve">. </w:t>
      </w:r>
      <w:r w:rsidR="00F15EE8">
        <w:t>október 22.</w:t>
      </w:r>
    </w:p>
    <w:p w14:paraId="2F12F46C" w14:textId="77777777" w:rsidR="00700F79" w:rsidRPr="006A495C" w:rsidRDefault="00700F79" w:rsidP="00700F79">
      <w:pPr>
        <w:pStyle w:val="Szvegtrzs"/>
      </w:pPr>
    </w:p>
    <w:p w14:paraId="4E8F1C78" w14:textId="4454D5EE" w:rsidR="00601647" w:rsidRPr="006A495C" w:rsidRDefault="00601647" w:rsidP="00601647">
      <w:pPr>
        <w:tabs>
          <w:tab w:val="center" w:pos="7371"/>
        </w:tabs>
      </w:pPr>
      <w:r w:rsidRPr="006A495C">
        <w:tab/>
      </w:r>
      <w:r w:rsidR="00B56B9C">
        <w:t>Köblös Máté</w:t>
      </w:r>
    </w:p>
    <w:p w14:paraId="634415A9" w14:textId="77777777" w:rsidR="00601647" w:rsidRPr="006A495C" w:rsidRDefault="00601647" w:rsidP="00601647">
      <w:pPr>
        <w:tabs>
          <w:tab w:val="center" w:pos="7371"/>
        </w:tabs>
        <w:ind w:firstLine="709"/>
      </w:pPr>
      <w:r w:rsidRPr="006A495C">
        <w:tab/>
        <w:t>témafelelős</w:t>
      </w:r>
    </w:p>
    <w:p w14:paraId="2EE9A490" w14:textId="5C032AE0" w:rsidR="008620D2" w:rsidRPr="006A495C" w:rsidRDefault="008620D2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FAE9B40" w14:textId="47E65E04" w:rsidR="008B6DFC" w:rsidRPr="006A495C" w:rsidRDefault="008B6DFC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14:paraId="58178326" w14:textId="77777777" w:rsidR="009B7E09" w:rsidRPr="006A495C" w:rsidRDefault="009B7E09" w:rsidP="009B7E09">
      <w:pPr>
        <w:ind w:left="0"/>
        <w:jc w:val="center"/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190F3D79" w14:textId="77777777" w:rsidR="009B7E09" w:rsidRPr="006A495C" w:rsidRDefault="009B7E09" w:rsidP="009B7E09">
      <w:pP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>4440 Tiszavasvári, Városháza tér 4. sz.</w:t>
      </w:r>
    </w:p>
    <w:p w14:paraId="78B5F750" w14:textId="77777777" w:rsidR="009B7E09" w:rsidRPr="006A495C" w:rsidRDefault="009B7E09" w:rsidP="009B7E09">
      <w:pPr>
        <w:pBdr>
          <w:bottom w:val="double" w:sz="12" w:space="1" w:color="auto"/>
        </w:pBd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 xml:space="preserve">Tel.: 42/520-500 Fax.: 42/275–000 e–mail: </w:t>
      </w:r>
      <w:r w:rsidRPr="006A495C">
        <w:rPr>
          <w:rStyle w:val="Hiperhivatkozs"/>
          <w:i/>
          <w:color w:val="auto"/>
          <w:sz w:val="22"/>
        </w:rPr>
        <w:t>tvonkph@tiszavasvari.hu</w:t>
      </w:r>
    </w:p>
    <w:p w14:paraId="77DDA647" w14:textId="30B2DAC9" w:rsidR="009B7E09" w:rsidRPr="006A495C" w:rsidRDefault="009B7E09" w:rsidP="009B7E09">
      <w:pPr>
        <w:ind w:left="0"/>
      </w:pPr>
      <w:r w:rsidRPr="006A495C">
        <w:t xml:space="preserve">Témafelelős: </w:t>
      </w:r>
      <w:r w:rsidR="00B56B9C">
        <w:t>Köblös Máté</w:t>
      </w:r>
    </w:p>
    <w:p w14:paraId="10B00874" w14:textId="45CD625C" w:rsidR="009B7E09" w:rsidRPr="006A495C" w:rsidRDefault="009B7E09" w:rsidP="00C96707">
      <w:pPr>
        <w:ind w:left="0"/>
        <w:jc w:val="center"/>
        <w:rPr>
          <w:b/>
          <w:smallCaps/>
          <w:sz w:val="40"/>
        </w:rPr>
      </w:pPr>
      <w:r w:rsidRPr="006A495C">
        <w:rPr>
          <w:b/>
          <w:smallCaps/>
          <w:sz w:val="40"/>
        </w:rPr>
        <w:t>Előterjesztés</w:t>
      </w:r>
    </w:p>
    <w:p w14:paraId="4C410E06" w14:textId="77777777" w:rsidR="009B7E09" w:rsidRPr="006A495C" w:rsidRDefault="009B7E09" w:rsidP="009B7E09">
      <w:pPr>
        <w:ind w:left="0"/>
        <w:jc w:val="center"/>
        <w:rPr>
          <w:sz w:val="28"/>
        </w:rPr>
      </w:pPr>
      <w:r w:rsidRPr="006A495C">
        <w:rPr>
          <w:sz w:val="28"/>
        </w:rPr>
        <w:t>– a Képviselő-testület részére –</w:t>
      </w:r>
    </w:p>
    <w:p w14:paraId="76C3EBBF" w14:textId="77777777" w:rsidR="009B7E09" w:rsidRPr="006A495C" w:rsidRDefault="009B7E09" w:rsidP="009B7E09">
      <w:pPr>
        <w:ind w:left="0"/>
      </w:pPr>
    </w:p>
    <w:p w14:paraId="5537E9FC" w14:textId="1D194141" w:rsidR="009B7E09" w:rsidRDefault="009B7E09" w:rsidP="009B7E09">
      <w:pPr>
        <w:ind w:left="0"/>
        <w:jc w:val="center"/>
        <w:rPr>
          <w:b/>
        </w:rPr>
      </w:pPr>
      <w:r w:rsidRPr="006A495C">
        <w:rPr>
          <w:b/>
        </w:rPr>
        <w:t>Tiszavasvári Város Önkormányzata 202</w:t>
      </w:r>
      <w:r w:rsidR="00564E95">
        <w:rPr>
          <w:b/>
        </w:rPr>
        <w:t>5</w:t>
      </w:r>
      <w:r w:rsidRPr="006A495C">
        <w:rPr>
          <w:b/>
        </w:rPr>
        <w:t xml:space="preserve">. évi költségvetéséről szóló </w:t>
      </w:r>
      <w:r w:rsidR="00564E95">
        <w:rPr>
          <w:b/>
        </w:rPr>
        <w:t>2</w:t>
      </w:r>
      <w:r w:rsidRPr="006A495C">
        <w:rPr>
          <w:b/>
        </w:rPr>
        <w:t>/202</w:t>
      </w:r>
      <w:r w:rsidR="00564E95">
        <w:rPr>
          <w:b/>
        </w:rPr>
        <w:t>5</w:t>
      </w:r>
      <w:r w:rsidRPr="006A495C">
        <w:rPr>
          <w:b/>
        </w:rPr>
        <w:t>.(II.</w:t>
      </w:r>
      <w:r w:rsidR="00564E95">
        <w:rPr>
          <w:b/>
        </w:rPr>
        <w:t>21</w:t>
      </w:r>
      <w:r w:rsidRPr="006A495C">
        <w:rPr>
          <w:b/>
        </w:rPr>
        <w:t>.) önkormányzati rendeletének módosításáról</w:t>
      </w:r>
    </w:p>
    <w:p w14:paraId="2BF85089" w14:textId="77777777" w:rsidR="00361902" w:rsidRPr="006A495C" w:rsidRDefault="00361902" w:rsidP="009B7E09">
      <w:pPr>
        <w:ind w:left="0"/>
        <w:jc w:val="center"/>
        <w:rPr>
          <w:b/>
        </w:rPr>
      </w:pPr>
    </w:p>
    <w:p w14:paraId="05C62C81" w14:textId="70366611" w:rsidR="009B7E09" w:rsidRDefault="009B7E09" w:rsidP="009B7E09">
      <w:pPr>
        <w:ind w:left="0"/>
        <w:rPr>
          <w:b/>
        </w:rPr>
      </w:pPr>
      <w:r w:rsidRPr="006A495C">
        <w:rPr>
          <w:b/>
        </w:rPr>
        <w:t>Tisztelt Képviselő-testület!</w:t>
      </w:r>
    </w:p>
    <w:p w14:paraId="71F69342" w14:textId="77777777" w:rsidR="00361902" w:rsidRPr="006A495C" w:rsidRDefault="00361902" w:rsidP="009B7E09">
      <w:pPr>
        <w:ind w:left="0"/>
        <w:rPr>
          <w:b/>
        </w:rPr>
      </w:pPr>
    </w:p>
    <w:p w14:paraId="62128E80" w14:textId="1A9B9B52" w:rsidR="009B7E09" w:rsidRDefault="009B7E09" w:rsidP="009B7E09">
      <w:pPr>
        <w:spacing w:after="240"/>
        <w:ind w:left="0"/>
      </w:pPr>
      <w:r w:rsidRPr="006A495C">
        <w:t>Szíves tájékoztatásukra és döntésük meghozatalához Önök elé terjesztem a 202</w:t>
      </w:r>
      <w:r w:rsidR="00FD5BEC">
        <w:t>5</w:t>
      </w:r>
      <w:r w:rsidRPr="006A495C">
        <w:t>. évi költségvetés módosítását szervezetekre megbontva, mely az alábbiak miatt vált szükségessé:</w:t>
      </w:r>
    </w:p>
    <w:p w14:paraId="35B7C72E" w14:textId="5870B416" w:rsidR="00DA0F23" w:rsidRDefault="00DA0F23" w:rsidP="00DA0F23">
      <w:pPr>
        <w:pStyle w:val="Intzmny"/>
      </w:pPr>
      <w:r>
        <w:t>I</w:t>
      </w:r>
      <w:r w:rsidRPr="006A495C">
        <w:t xml:space="preserve">. </w:t>
      </w:r>
      <w:r>
        <w:t>Egyesített Közművelődési Intézmény és Könyvtár:</w:t>
      </w:r>
    </w:p>
    <w:p w14:paraId="7375AEFC" w14:textId="12950282" w:rsidR="00AF1088" w:rsidRPr="00400F23" w:rsidRDefault="003928CD" w:rsidP="00AF1088">
      <w:pPr>
        <w:pStyle w:val="Listaszerbekezds"/>
        <w:ind w:left="426" w:hanging="426"/>
      </w:pPr>
      <w:r w:rsidRPr="00400F23">
        <w:t>Megjelent a könyvtári érdekeltségnövelő támogatás felosztása, amely alapján</w:t>
      </w:r>
      <w:r w:rsidR="00AF1088" w:rsidRPr="00400F23">
        <w:t xml:space="preserve"> </w:t>
      </w:r>
      <w:r w:rsidRPr="00400F23">
        <w:t>ö</w:t>
      </w:r>
      <w:r w:rsidR="00AF1088" w:rsidRPr="00400F23">
        <w:t>nkormányzat</w:t>
      </w:r>
      <w:r w:rsidRPr="00400F23">
        <w:t>unk</w:t>
      </w:r>
      <w:r w:rsidR="00AF1088" w:rsidRPr="00400F23">
        <w:t xml:space="preserve"> </w:t>
      </w:r>
      <w:r w:rsidRPr="00400F23">
        <w:t>2025. évre 1.074.000 Ft támogatásban részesül,</w:t>
      </w:r>
      <w:r w:rsidR="00AF1088" w:rsidRPr="00400F23">
        <w:t xml:space="preserve"> melyhez a költségvetés tervezésekor 450.000 Ft önerőt biztosított a Képviselő-testület. A támogatás és a pályázati önerő kiadási oldalát az Egyesített Közművelődési Intézmény és Könyvtár költségvetésében szükséges előirányozni. A</w:t>
      </w:r>
      <w:r w:rsidR="00400F23" w:rsidRPr="00400F23">
        <w:t>z intézmény a</w:t>
      </w:r>
      <w:r w:rsidR="00AF1088" w:rsidRPr="00400F23">
        <w:t xml:space="preserve"> </w:t>
      </w:r>
      <w:r w:rsidR="00400F23" w:rsidRPr="00400F23">
        <w:t>támogatás 50 %-át könyvek beszerzésére, 5</w:t>
      </w:r>
      <w:r w:rsidR="00AF1088" w:rsidRPr="00400F23">
        <w:t>0 %-át</w:t>
      </w:r>
      <w:r w:rsidR="00400F23" w:rsidRPr="00400F23">
        <w:t xml:space="preserve"> és az önerőt</w:t>
      </w:r>
      <w:r w:rsidR="00AF1088" w:rsidRPr="00400F23">
        <w:t xml:space="preserve"> </w:t>
      </w:r>
      <w:r w:rsidR="00400F23" w:rsidRPr="00400F23">
        <w:t>tárgyi</w:t>
      </w:r>
      <w:r w:rsidR="00AF1088" w:rsidRPr="00400F23">
        <w:t>eszközök beszerzésére kívánja fordítani.</w:t>
      </w:r>
    </w:p>
    <w:p w14:paraId="32094A38" w14:textId="246A314A" w:rsidR="00D84014" w:rsidRDefault="007A3335" w:rsidP="00D84014">
      <w:r>
        <w:t>Ezért</w:t>
      </w:r>
      <w:r w:rsidR="00D84014" w:rsidRPr="003665A8">
        <w:t xml:space="preserve"> a Könyvtári állomány gyarapítása, nyilvántartása (082042-Köt) kormányzati funkción az </w:t>
      </w:r>
      <w:r w:rsidR="00400F23" w:rsidRPr="00400F23">
        <w:t>Egyéb tárgyi eszközök beszerzése, létesítése</w:t>
      </w:r>
      <w:r w:rsidR="00D84014" w:rsidRPr="003665A8">
        <w:t xml:space="preserve"> (K6</w:t>
      </w:r>
      <w:r w:rsidR="00400F23">
        <w:t>4</w:t>
      </w:r>
      <w:r w:rsidR="00D84014" w:rsidRPr="003665A8">
        <w:t xml:space="preserve">) kiadási előirányzatát </w:t>
      </w:r>
      <w:r>
        <w:t>1.288</w:t>
      </w:r>
      <w:r w:rsidR="00D84014" w:rsidRPr="003665A8">
        <w:t>.</w:t>
      </w:r>
      <w:r>
        <w:t>594</w:t>
      </w:r>
      <w:r w:rsidR="00D84014" w:rsidRPr="003665A8">
        <w:t xml:space="preserve"> Ft-tal, a Beruházási célú előzetesen felszámított általános forgalmi adó (K67) kiadási előirányzatát </w:t>
      </w:r>
      <w:r>
        <w:t>236.406</w:t>
      </w:r>
      <w:r w:rsidR="00D84014" w:rsidRPr="003665A8">
        <w:t xml:space="preserve"> Ft-tal </w:t>
      </w:r>
      <w:r>
        <w:t>javaslom megemelni a céltartalék 1.524.000 Ft-os csökkentése mellett.</w:t>
      </w:r>
    </w:p>
    <w:p w14:paraId="06D77DFB" w14:textId="5281723B" w:rsidR="006E760B" w:rsidRDefault="00331170" w:rsidP="00331170">
      <w:pPr>
        <w:pStyle w:val="Listaszerbekezds"/>
        <w:ind w:left="426" w:hanging="426"/>
      </w:pPr>
      <w:r>
        <w:t>A Találkozások Házán folyamatban lévő pályázati forrásból megvalósuló felújítás nem tartalmazz</w:t>
      </w:r>
      <w:r w:rsidR="0093269F">
        <w:t>a</w:t>
      </w:r>
      <w:r>
        <w:t xml:space="preserve"> az aul</w:t>
      </w:r>
      <w:r w:rsidR="0093269F">
        <w:t>ában</w:t>
      </w:r>
      <w:r>
        <w:t xml:space="preserve"> szükséges festési munkálatokat.</w:t>
      </w:r>
      <w:r w:rsidR="006E760B">
        <w:t xml:space="preserve"> Ezt az átadás előtt célszerű megcsináltatni, ezért a bekért indikatív árajánlat alapján az alábbi módosítást javaslom:</w:t>
      </w:r>
    </w:p>
    <w:p w14:paraId="3DF6090B" w14:textId="4144B6A8" w:rsidR="00AF1088" w:rsidRDefault="006E760B" w:rsidP="006E760B">
      <w:pPr>
        <w:pStyle w:val="Listaszerbekezds"/>
        <w:numPr>
          <w:ilvl w:val="0"/>
          <w:numId w:val="0"/>
        </w:numPr>
        <w:ind w:left="426"/>
      </w:pPr>
      <w:r>
        <w:t xml:space="preserve">A </w:t>
      </w:r>
      <w:r w:rsidRPr="006E760B">
        <w:t>Közművelődés - közösségi és társadalmi részvétel fejlesztése</w:t>
      </w:r>
      <w:r w:rsidR="00331170">
        <w:t xml:space="preserve"> </w:t>
      </w:r>
      <w:r>
        <w:t xml:space="preserve">(082091-Köt) kormányzati funkción az </w:t>
      </w:r>
      <w:r w:rsidRPr="006E760B">
        <w:t>Ingatlanok felújítása</w:t>
      </w:r>
      <w:r>
        <w:t xml:space="preserve"> (K71) kiadási előirányzata 8.150.000 Ft-tal és a </w:t>
      </w:r>
      <w:r w:rsidRPr="006E760B">
        <w:t>Felújítási célú előzetesen felszámított általános forgalmi adó</w:t>
      </w:r>
      <w:r>
        <w:t xml:space="preserve"> (K74) kiadási előirányzata 2.200.500 Ft-tal nő az általános tartalék 10.350.500 Ft-os csökkentése mellett.</w:t>
      </w:r>
    </w:p>
    <w:p w14:paraId="74583EB4" w14:textId="77777777" w:rsidR="00AC1620" w:rsidRDefault="00AC1620" w:rsidP="00AC1620">
      <w:pPr>
        <w:pStyle w:val="Intzmny"/>
        <w:spacing w:before="240"/>
        <w:jc w:val="left"/>
      </w:pPr>
      <w:r>
        <w:t>II</w:t>
      </w:r>
      <w:r w:rsidRPr="006A495C">
        <w:t>. Tiszavasvári Egyesített Óvodai Intézmény</w:t>
      </w:r>
    </w:p>
    <w:p w14:paraId="4783C7E2" w14:textId="4E85B19D" w:rsidR="00AC1620" w:rsidRDefault="00AC1620" w:rsidP="00AC1620">
      <w:pPr>
        <w:pStyle w:val="Listaszerbekezds"/>
        <w:numPr>
          <w:ilvl w:val="0"/>
          <w:numId w:val="13"/>
        </w:numPr>
        <w:ind w:left="426" w:hanging="426"/>
      </w:pPr>
      <w:r>
        <w:t>A könyvelési adatok felülvizsgálata alapján a gázenergiára tervezett előirányzat év végéig nem fog fedezetet nyújtani, ezért azt szükséges megemelni.</w:t>
      </w:r>
    </w:p>
    <w:p w14:paraId="4A8336EE" w14:textId="168C95AD" w:rsidR="00AC1620" w:rsidRDefault="00AC1620" w:rsidP="00AC1620">
      <w:r>
        <w:t xml:space="preserve">Ezért az </w:t>
      </w:r>
      <w:r w:rsidRPr="00AC1620">
        <w:t>Óvodai nevelés, ellátás működtetési feladatai</w:t>
      </w:r>
      <w:r>
        <w:t xml:space="preserve"> (091140-Köt) kormányzati funkción a </w:t>
      </w:r>
      <w:r w:rsidRPr="00AC1620">
        <w:t>Gázenergia szolgáltatás díja</w:t>
      </w:r>
      <w:r>
        <w:t xml:space="preserve"> (K3312) kiadási előirányzatát 1.500.000 Ft-tal, a </w:t>
      </w:r>
      <w:r w:rsidRPr="00AC1620">
        <w:t>Működési célú előzetesen felszámított általános forgalmi adó</w:t>
      </w:r>
      <w:r>
        <w:t xml:space="preserve"> (K351)</w:t>
      </w:r>
      <w:r w:rsidRPr="00AC1620">
        <w:t xml:space="preserve"> </w:t>
      </w:r>
      <w:r>
        <w:t>kiadási előirányzatát pedig 405.000 Ft-tal javaslom megemelni az általános tartalék 1.905.000 Ft-os csökkentése mellett.</w:t>
      </w:r>
    </w:p>
    <w:p w14:paraId="6F67D97F" w14:textId="77777777" w:rsidR="002B2D56" w:rsidRDefault="002B2D56" w:rsidP="00D7579D">
      <w:pPr>
        <w:ind w:left="0"/>
      </w:pPr>
    </w:p>
    <w:p w14:paraId="60A777C4" w14:textId="77777777" w:rsidR="00AC1620" w:rsidRPr="00AC1620" w:rsidRDefault="00AC1620" w:rsidP="00AC1620"/>
    <w:p w14:paraId="12CE7A53" w14:textId="4459E853" w:rsidR="006363F0" w:rsidRDefault="001A2A4B" w:rsidP="006363F0">
      <w:pPr>
        <w:pStyle w:val="Intzmny"/>
      </w:pPr>
      <w:r>
        <w:lastRenderedPageBreak/>
        <w:t>III</w:t>
      </w:r>
      <w:r w:rsidR="00BF07A1">
        <w:t>.</w:t>
      </w:r>
      <w:r w:rsidR="006363F0" w:rsidRPr="006A495C">
        <w:t xml:space="preserve"> Tiszavasvári Város Önkormányzata</w:t>
      </w:r>
      <w:r w:rsidR="006363F0">
        <w:t>:</w:t>
      </w:r>
    </w:p>
    <w:p w14:paraId="217679EE" w14:textId="52887797" w:rsidR="007174EE" w:rsidRDefault="00D84014" w:rsidP="00D84014">
      <w:pPr>
        <w:pStyle w:val="Listaszerbekezds"/>
        <w:numPr>
          <w:ilvl w:val="0"/>
          <w:numId w:val="9"/>
        </w:numPr>
        <w:ind w:left="426" w:hanging="426"/>
        <w:rPr>
          <w:szCs w:val="24"/>
        </w:rPr>
      </w:pPr>
      <w:r>
        <w:rPr>
          <w:szCs w:val="24"/>
        </w:rPr>
        <w:t>A</w:t>
      </w:r>
      <w:r w:rsidRPr="003665A8">
        <w:rPr>
          <w:szCs w:val="24"/>
        </w:rPr>
        <w:t>z Egyesített Közművelődési Intézmény és Könyvtár</w:t>
      </w:r>
      <w:r>
        <w:rPr>
          <w:szCs w:val="24"/>
        </w:rPr>
        <w:t xml:space="preserve"> 1. pontjában részletezett érdekeltségi hozzájárulás miatt az alábbi módosítás szükséges:</w:t>
      </w:r>
    </w:p>
    <w:p w14:paraId="04676002" w14:textId="48434A9A" w:rsidR="00D84014" w:rsidRDefault="00D84014" w:rsidP="00D84014">
      <w:r w:rsidRPr="003665A8">
        <w:t>Az Önkormányzatok elszámolásai a központi költségvetéssel (018010-Köt) kormányzati funkción a Települési önkormányzatok kulturális feladatainak támogatása (B114) bevételi előirányzata 1.</w:t>
      </w:r>
      <w:r>
        <w:t>074</w:t>
      </w:r>
      <w:r w:rsidRPr="003665A8">
        <w:t xml:space="preserve">.000 Ft-tal nő a </w:t>
      </w:r>
      <w:r w:rsidR="003618D6">
        <w:t>cél</w:t>
      </w:r>
      <w:r w:rsidRPr="003665A8">
        <w:t>tartalék azonos összegű növelése mellett.</w:t>
      </w:r>
    </w:p>
    <w:p w14:paraId="023602D9" w14:textId="405416DC" w:rsidR="00CA6C21" w:rsidRDefault="00CA6C21" w:rsidP="00CA6C21">
      <w:pPr>
        <w:pStyle w:val="Listaszerbekezds"/>
        <w:ind w:left="426" w:hanging="426"/>
        <w:rPr>
          <w:szCs w:val="24"/>
        </w:rPr>
      </w:pPr>
      <w:r>
        <w:t xml:space="preserve">Az </w:t>
      </w:r>
      <w:r w:rsidRPr="00CA6C21">
        <w:t>Egyesített Közművelődési Intézmény és Könyvtár</w:t>
      </w:r>
      <w:r>
        <w:t xml:space="preserve"> 2. </w:t>
      </w:r>
      <w:r>
        <w:rPr>
          <w:szCs w:val="24"/>
        </w:rPr>
        <w:t>pontjában szereplő felújítás érdekében szükséges az előző költségvetésmódosítás keretében betervezett 20 millió forintos felújítási keret egy részét az intézményhez átcsoportosítani:</w:t>
      </w:r>
    </w:p>
    <w:p w14:paraId="5F76F8C1" w14:textId="270C4DBA" w:rsidR="00CA6C21" w:rsidRPr="00CA6C21" w:rsidRDefault="00CA6C21" w:rsidP="00CA6C21">
      <w:r>
        <w:t>Ezért a</w:t>
      </w:r>
      <w:r w:rsidRPr="00CA6C21">
        <w:t xml:space="preserve">z önkormányzati vagyonnal való gazdálkodással kapcsolatos feladatok (013350-Köt) kormányzati funkción az Ingatlanok felújítása (K71) kiadási előirányzatát </w:t>
      </w:r>
      <w:r>
        <w:t>8.150.000</w:t>
      </w:r>
      <w:r w:rsidRPr="00CA6C21">
        <w:t xml:space="preserve"> Ft-tal, a Felújítási célú előzetesen felszámított általános forgalmi adó (K74) kiadási előirányzatát</w:t>
      </w:r>
      <w:r>
        <w:t xml:space="preserve"> pedig</w:t>
      </w:r>
      <w:r w:rsidRPr="00CA6C21">
        <w:t xml:space="preserve"> </w:t>
      </w:r>
      <w:r>
        <w:t>2</w:t>
      </w:r>
      <w:r w:rsidRPr="00CA6C21">
        <w:t>.</w:t>
      </w:r>
      <w:r>
        <w:t>200.500</w:t>
      </w:r>
      <w:r w:rsidRPr="00CA6C21">
        <w:t xml:space="preserve"> Ft-tal javaslom </w:t>
      </w:r>
      <w:r>
        <w:t>csökkenteni</w:t>
      </w:r>
      <w:r w:rsidRPr="00CA6C21">
        <w:t xml:space="preserve"> az Általános tartalék </w:t>
      </w:r>
      <w:r>
        <w:t>10</w:t>
      </w:r>
      <w:r w:rsidRPr="00CA6C21">
        <w:t>.</w:t>
      </w:r>
      <w:r>
        <w:t>350</w:t>
      </w:r>
      <w:r w:rsidRPr="00CA6C21">
        <w:t>.</w:t>
      </w:r>
      <w:r>
        <w:t>5</w:t>
      </w:r>
      <w:r w:rsidRPr="00CA6C21">
        <w:t xml:space="preserve">00 Ft-os </w:t>
      </w:r>
      <w:r>
        <w:t>növelése mellett.</w:t>
      </w:r>
    </w:p>
    <w:p w14:paraId="0EF2DE94" w14:textId="69D76D7F" w:rsidR="000B3F57" w:rsidRDefault="000B3F57" w:rsidP="000B3F57">
      <w:pPr>
        <w:pStyle w:val="Listaszerbekezds"/>
        <w:ind w:left="426" w:hanging="426"/>
      </w:pPr>
      <w:r>
        <w:t>A harmadik negyedévben 4 bizottsági tag mondott le a tiszteletdíjáról az alábbi táblázat szerint: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7"/>
        <w:gridCol w:w="921"/>
        <w:gridCol w:w="1370"/>
        <w:gridCol w:w="4974"/>
      </w:tblGrid>
      <w:tr w:rsidR="000B3F57" w:rsidRPr="00472265" w14:paraId="53F16256" w14:textId="77777777" w:rsidTr="00381043">
        <w:trPr>
          <w:trHeight w:val="300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16519C99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2025. II. negyedévi felajánlások</w:t>
            </w:r>
          </w:p>
        </w:tc>
      </w:tr>
      <w:tr w:rsidR="000B3F57" w:rsidRPr="00472265" w14:paraId="3741F336" w14:textId="77777777" w:rsidTr="0038104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E566564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Név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37C999B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Időszak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E1D6E8D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A270D9C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Felajánlásban megnevezett szervezet</w:t>
            </w:r>
          </w:p>
        </w:tc>
      </w:tr>
      <w:tr w:rsidR="000B3F57" w:rsidRPr="00472265" w14:paraId="06F8D76C" w14:textId="77777777" w:rsidTr="000B3F57">
        <w:trPr>
          <w:trHeight w:val="288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C3AC7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Borbély Péter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7CE2A" w14:textId="2FE93403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D146C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585541E" w14:textId="1651E93D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Tiszavasvári Vállalkozások Érdekképviseleti Egyesülete</w:t>
            </w:r>
          </w:p>
        </w:tc>
      </w:tr>
      <w:tr w:rsidR="00536ADF" w:rsidRPr="00472265" w14:paraId="04F48DA0" w14:textId="77777777" w:rsidTr="00381043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CF984" w14:textId="77777777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D0808" w14:textId="7A97B0FD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9F4E5" w14:textId="77777777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9D4D4CD" w14:textId="24FAEEB5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Vasvári Pál Társaság</w:t>
            </w:r>
          </w:p>
        </w:tc>
      </w:tr>
      <w:tr w:rsidR="000B3F57" w:rsidRPr="00472265" w14:paraId="3E378BEC" w14:textId="77777777" w:rsidTr="00381043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9DBBD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A9FA65F" w14:textId="170DD6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9BE53A5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59B9F36" w14:textId="557287D6" w:rsidR="000B3F57" w:rsidRPr="00472265" w:rsidRDefault="00536ADF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Őszikék Idősek és Egyedülállók Egyesülete</w:t>
            </w:r>
          </w:p>
        </w:tc>
      </w:tr>
      <w:tr w:rsidR="00536ADF" w:rsidRPr="00472265" w14:paraId="3BDE8CF0" w14:textId="77777777" w:rsidTr="00381043">
        <w:trPr>
          <w:trHeight w:val="288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73FFA423" w14:textId="77777777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Krusóczki Zsolt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D6E4" w14:textId="023324E0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8AC30" w14:textId="77777777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4A29298" w14:textId="1367BEFD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Őszikék Idősek és Egyedülállók Egyesülete</w:t>
            </w:r>
          </w:p>
        </w:tc>
      </w:tr>
      <w:tr w:rsidR="000B3F57" w:rsidRPr="00472265" w14:paraId="32C20552" w14:textId="77777777" w:rsidTr="00381043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D1A41C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1A69A" w14:textId="306519A8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15961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0BECCC3" w14:textId="42A83071" w:rsidR="000B3F57" w:rsidRPr="00472265" w:rsidRDefault="00536ADF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Tiszavasvári Városi Fúvószenekar</w:t>
            </w:r>
          </w:p>
        </w:tc>
      </w:tr>
      <w:tr w:rsidR="000B3F57" w:rsidRPr="00472265" w14:paraId="3291FBCE" w14:textId="77777777" w:rsidTr="00381043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52E245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BF6158" w14:textId="643428A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F066143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2CDF739" w14:textId="66B294BB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Tiszavasvári </w:t>
            </w:r>
            <w:r w:rsidR="00536A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Polgárőr </w:t>
            </w: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Egyesület</w:t>
            </w:r>
          </w:p>
        </w:tc>
      </w:tr>
      <w:tr w:rsidR="00536ADF" w:rsidRPr="00472265" w14:paraId="08EF7D7F" w14:textId="77777777" w:rsidTr="00381043">
        <w:trPr>
          <w:trHeight w:val="288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5ED39" w14:textId="77777777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Moravszki György Zsolt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A76F4" w14:textId="1DE8D18A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240E9" w14:textId="77777777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091156A" w14:textId="332BF791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Őszikék Idősek és Egyedülállók Egyesülete</w:t>
            </w:r>
          </w:p>
        </w:tc>
      </w:tr>
      <w:tr w:rsidR="000B3F57" w:rsidRPr="00472265" w14:paraId="4A5EDB43" w14:textId="77777777" w:rsidTr="0038104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1985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5FFD9" w14:textId="38E2FB69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4FD54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5773CA9" w14:textId="487A74CF" w:rsidR="000B3F57" w:rsidRPr="00472265" w:rsidRDefault="00536ADF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Tiszavasvári Városi Fúvószenekar</w:t>
            </w:r>
          </w:p>
        </w:tc>
      </w:tr>
      <w:tr w:rsidR="000B3F57" w:rsidRPr="00472265" w14:paraId="795036F9" w14:textId="77777777" w:rsidTr="0038104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E7833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A2614B8" w14:textId="36A2F8ED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1F5A8AB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8546916" w14:textId="645D4B80" w:rsidR="000B3F57" w:rsidRPr="00472265" w:rsidRDefault="00536ADF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Tiszavasvári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Polgárőr </w:t>
            </w: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Egyesület</w:t>
            </w:r>
          </w:p>
        </w:tc>
      </w:tr>
      <w:tr w:rsidR="00536ADF" w:rsidRPr="00472265" w14:paraId="26DCB632" w14:textId="77777777" w:rsidTr="00381043">
        <w:trPr>
          <w:trHeight w:val="288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14:paraId="1559E153" w14:textId="77777777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Nácsa Gergely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5F22A" w14:textId="65786E12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7F3E6" w14:textId="77777777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7E492B3" w14:textId="17D49B9B" w:rsidR="00536ADF" w:rsidRPr="00472265" w:rsidRDefault="00536ADF" w:rsidP="00536ADF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Őszikék Idősek és Egyedülállók Egyesülete</w:t>
            </w:r>
          </w:p>
        </w:tc>
      </w:tr>
      <w:tr w:rsidR="000B3F57" w:rsidRPr="00472265" w14:paraId="0B47EE60" w14:textId="77777777" w:rsidTr="00381043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46557B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A4E2A" w14:textId="65AF5083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56C1D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31599F" w14:textId="5976E194" w:rsidR="000B3F57" w:rsidRPr="00472265" w:rsidRDefault="00536ADF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Tiszavasvári Városi Fúvószenekar</w:t>
            </w:r>
          </w:p>
        </w:tc>
      </w:tr>
      <w:tr w:rsidR="000B3F57" w:rsidRPr="00472265" w14:paraId="33C6A494" w14:textId="77777777" w:rsidTr="00381043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908289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FEC9B4E" w14:textId="3ED03664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2025.0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30F01DD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1C73EF2" w14:textId="5C1B08CA" w:rsidR="000B3F57" w:rsidRPr="00472265" w:rsidRDefault="00536ADF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Tiszavasvári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Polgárőr </w:t>
            </w:r>
            <w:r w:rsidRPr="00472265">
              <w:rPr>
                <w:rFonts w:ascii="Calibri" w:hAnsi="Calibri" w:cs="Calibri"/>
                <w:color w:val="000000"/>
                <w:sz w:val="22"/>
                <w:szCs w:val="22"/>
              </w:rPr>
              <w:t>Egyesület</w:t>
            </w:r>
          </w:p>
        </w:tc>
      </w:tr>
      <w:tr w:rsidR="000B3F57" w:rsidRPr="00472265" w14:paraId="17162AA7" w14:textId="77777777" w:rsidTr="00381043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A4935C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B62935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57A89A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22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402 120 Ft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EBE754" w14:textId="77777777" w:rsidR="000B3F57" w:rsidRPr="00472265" w:rsidRDefault="000B3F57" w:rsidP="00381043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86F17CB" w14:textId="77777777" w:rsidR="000B3F57" w:rsidRDefault="000B3F57" w:rsidP="000B3F57">
      <w:r>
        <w:t>A táblázatban szereplő felajánlások végrehajtása érdekében az alábbi költségvetés módosítás elfogadását javaslom:</w:t>
      </w:r>
    </w:p>
    <w:p w14:paraId="68F09964" w14:textId="77777777" w:rsidR="000B3F57" w:rsidRDefault="000B3F57" w:rsidP="000B3F57">
      <w:pPr>
        <w:pStyle w:val="Listaszerbekezds"/>
        <w:numPr>
          <w:ilvl w:val="0"/>
          <w:numId w:val="0"/>
        </w:numPr>
        <w:ind w:left="426"/>
      </w:pPr>
      <w:r>
        <w:t xml:space="preserve">Az </w:t>
      </w:r>
      <w:r w:rsidRPr="00FD5BEC">
        <w:t>Önkormányzatok és önkormányzati hivatalok jogalkotó és általános igazgatási tevékenysége</w:t>
      </w:r>
      <w:r>
        <w:t xml:space="preserve"> (011130-Köt.) kormányzati funkción az </w:t>
      </w:r>
      <w:r w:rsidRPr="00FD5BEC">
        <w:t>Egyéb külső személyi juttatások</w:t>
      </w:r>
      <w:r>
        <w:t xml:space="preserve"> (K123) kiadási előirányzatát 360.000 Ft-tal, a </w:t>
      </w:r>
      <w:r w:rsidRPr="00FD5BEC">
        <w:t>Munkaadókat terhelő járulékok és szociális hozzájárulási adó</w:t>
      </w:r>
      <w:r>
        <w:t xml:space="preserve"> (K2) kiadási előirányzatát 42.120 Ft-tal javaslom csökkentetni. Ezzel egyidőben a </w:t>
      </w:r>
      <w:r w:rsidRPr="00F571CB">
        <w:t>Civil szervezetek működési támogatása</w:t>
      </w:r>
      <w:r>
        <w:t xml:space="preserve"> (084031-Önv.) kormányzati funkción az </w:t>
      </w:r>
      <w:r w:rsidRPr="00F571CB">
        <w:t>Egyéb működési célú támogatások államháztartáson kívülre</w:t>
      </w:r>
      <w:r>
        <w:t xml:space="preserve"> (K512) kiadási előirányzata 402.120 Ft-tal nő.</w:t>
      </w:r>
    </w:p>
    <w:p w14:paraId="0E4CE16D" w14:textId="1E64575C" w:rsidR="000B3F57" w:rsidRDefault="00536ADF" w:rsidP="000B3F57">
      <w:pPr>
        <w:pStyle w:val="Listaszerbekezds"/>
        <w:ind w:left="426" w:hanging="426"/>
      </w:pPr>
      <w:r>
        <w:t>Polgármesteri Keret terhére összesen 131.000 Ft támogatásban részesítettem a Tiszavasvári</w:t>
      </w:r>
      <w:r w:rsidR="00CA0ED8">
        <w:t xml:space="preserve"> Város</w:t>
      </w:r>
      <w:r>
        <w:t xml:space="preserve"> Roma Nemzetiségi Önkormányzat</w:t>
      </w:r>
      <w:r w:rsidR="00CA4C8E">
        <w:t>á</w:t>
      </w:r>
      <w:r>
        <w:t>t. Ennek helyes könyvelése érdekében az alábbi átcsoportosítás végrehajtását javaslom:</w:t>
      </w:r>
    </w:p>
    <w:p w14:paraId="6C20E427" w14:textId="4363EA12" w:rsidR="00536ADF" w:rsidRDefault="00536ADF" w:rsidP="00536ADF">
      <w:r>
        <w:lastRenderedPageBreak/>
        <w:t xml:space="preserve">A </w:t>
      </w:r>
      <w:r w:rsidRPr="00536ADF">
        <w:t>Civil szervezetek működési támogatása</w:t>
      </w:r>
      <w:r>
        <w:t xml:space="preserve"> (084031-Önv.) kormányzati funkción az </w:t>
      </w:r>
      <w:r w:rsidRPr="00536ADF">
        <w:t>Egyéb működési célú támogatások államháztartáson kívülre</w:t>
      </w:r>
      <w:r w:rsidR="0092326E">
        <w:t xml:space="preserve"> (K512) kiadási előirányzatát 131.000 Ft-tal javaslom csökkenteni, az </w:t>
      </w:r>
      <w:r w:rsidR="0092326E" w:rsidRPr="0092326E">
        <w:t>Egyéb működési célú támogatások államháztartáson belülre</w:t>
      </w:r>
      <w:r w:rsidR="0092326E">
        <w:t xml:space="preserve"> (K506) kiadási előirányzatának azonos összegű növelése mellett.</w:t>
      </w:r>
    </w:p>
    <w:p w14:paraId="3F2C7379" w14:textId="5A01B9DA" w:rsidR="0092326E" w:rsidRDefault="0092326E" w:rsidP="0092326E">
      <w:pPr>
        <w:pStyle w:val="Listaszerbekezds"/>
        <w:ind w:left="426" w:hanging="426"/>
      </w:pPr>
      <w:r>
        <w:t>Önkormányzatunk partnerségi megál</w:t>
      </w:r>
      <w:r w:rsidR="00F97BE9">
        <w:t>l</w:t>
      </w:r>
      <w:r>
        <w:t xml:space="preserve">apodást kötött az ÉRV. Északmagyarországi Regionális Vízművek Zrt.-vel a Svájci-Magyar Együttműködési Program II. </w:t>
      </w:r>
      <w:r w:rsidR="00F97BE9">
        <w:t>időszak Vízminőség javítása Magyarországon elnevezésű programjával kapcsolatban.</w:t>
      </w:r>
      <w:r>
        <w:t xml:space="preserve"> </w:t>
      </w:r>
      <w:r w:rsidR="00F97BE9">
        <w:t>E</w:t>
      </w:r>
      <w:r>
        <w:t xml:space="preserve">nnek keretében </w:t>
      </w:r>
      <w:r w:rsidR="00F97BE9">
        <w:t>Önkormányzatunk részt vesz a program megvalósításában, melyre 1.853.199 Ft támogatásban részesül. A feladatot megbízási szerződéssel kívánjuk ellátni, ezért az alábbi módosítás elfogadását javaslom:</w:t>
      </w:r>
    </w:p>
    <w:p w14:paraId="0F9A88A6" w14:textId="2797A5FA" w:rsidR="00F97BE9" w:rsidRPr="00F97BE9" w:rsidRDefault="00F97BE9" w:rsidP="00F20ED0">
      <w:r>
        <w:t xml:space="preserve">A </w:t>
      </w:r>
      <w:r w:rsidRPr="00F97BE9">
        <w:t>Város-, községgazdálkodási egyéb szolgáltatások</w:t>
      </w:r>
      <w:r>
        <w:t xml:space="preserve"> (066020-Köt.) kormányzati funkción a </w:t>
      </w:r>
      <w:r w:rsidRPr="00F97BE9">
        <w:t>Munkavégzésre irányuló egyéb jogviszonyban nem saját foglalkoztatottnak fizetett juttatások</w:t>
      </w:r>
      <w:r>
        <w:t xml:space="preserve"> (K122) kiadási előirányzata 1.659.086 Ft-tal és a </w:t>
      </w:r>
      <w:r w:rsidRPr="00F97BE9">
        <w:t>Munkaadókat terhelő járulékok és szociális hozzájárulási adó</w:t>
      </w:r>
      <w:r>
        <w:t xml:space="preserve"> (K2) kiadási előirányzata 194.113 Ft-tal nő. Ezzel egyidőben a</w:t>
      </w:r>
      <w:r w:rsidR="00F20ED0">
        <w:t xml:space="preserve">z </w:t>
      </w:r>
      <w:r w:rsidR="00F20ED0" w:rsidRPr="00F20ED0">
        <w:t>Egyéb működési célú támogatások bevételei államháztartáson belülről</w:t>
      </w:r>
      <w:r w:rsidR="00F20ED0">
        <w:t xml:space="preserve"> (B16) bevételi előirányzata 1.853.199 Ft-tal nő.</w:t>
      </w:r>
    </w:p>
    <w:p w14:paraId="127D4FF3" w14:textId="4370F988" w:rsidR="00D84014" w:rsidRDefault="00F20ED0" w:rsidP="00903174">
      <w:pPr>
        <w:pStyle w:val="Listaszerbekezds"/>
        <w:ind w:left="426" w:hanging="426"/>
      </w:pPr>
      <w:r>
        <w:t>A tervezett előirányzathoz képest, amely a tavalyi tényadat, a likviditási hitelünket magasabb mértékben vettük igénybe, ezért a tervezett bevételi és kiadási előirányzat növelése szükséges:</w:t>
      </w:r>
    </w:p>
    <w:p w14:paraId="08793F3B" w14:textId="09070483" w:rsidR="00F20ED0" w:rsidRDefault="00F20ED0" w:rsidP="00F20ED0">
      <w:r>
        <w:t xml:space="preserve">Ezért a </w:t>
      </w:r>
      <w:r w:rsidRPr="00F20ED0">
        <w:t>Forgatási és befektetési célú finanszírozási műveletek</w:t>
      </w:r>
      <w:r>
        <w:t xml:space="preserve"> (900060-Köt) kormányzati funkción a </w:t>
      </w:r>
      <w:r w:rsidRPr="00F20ED0">
        <w:t>Likviditási célú hitelek törlesztése</w:t>
      </w:r>
      <w:r>
        <w:t xml:space="preserve"> (K9112) kiadási előirányzatát és a </w:t>
      </w:r>
      <w:r w:rsidRPr="00F20ED0">
        <w:t>Likviditási célú hitelek, kölcsönök felvétele pénzügyi vállalkozástól</w:t>
      </w:r>
      <w:r>
        <w:t xml:space="preserve"> (B8112) bevételi előirányzatát </w:t>
      </w:r>
      <w:r w:rsidR="00C609FB">
        <w:t>3</w:t>
      </w:r>
      <w:r>
        <w:t>50.000.000 Ft-tal javaslom megemelni.</w:t>
      </w:r>
    </w:p>
    <w:p w14:paraId="4FC43A5C" w14:textId="5C31960C" w:rsidR="00F20ED0" w:rsidRDefault="00943913" w:rsidP="00D655A3">
      <w:pPr>
        <w:pStyle w:val="Listaszerbekezds"/>
        <w:ind w:left="426" w:hanging="426"/>
      </w:pPr>
      <w:r w:rsidRPr="00943913">
        <w:t>Magyarország 2025. évi központi költségvetésének megalapozásáról szóló 2024. évi LXXIV. törvény 247. § (1) bekezdésének előírásai alapján a települési önkormányzatok helyi iparűzési adóbevétel többlete a Területfejlesztési Alap részére fizetési kötelezettsége</w:t>
      </w:r>
      <w:r>
        <w:t>t</w:t>
      </w:r>
      <w:r w:rsidRPr="00943913">
        <w:t xml:space="preserve"> keletkez</w:t>
      </w:r>
      <w:r>
        <w:t>tet.</w:t>
      </w:r>
      <w:r w:rsidRPr="00943913">
        <w:t xml:space="preserve"> </w:t>
      </w:r>
      <w:r>
        <w:t>M</w:t>
      </w:r>
      <w:r w:rsidRPr="00943913">
        <w:t>ely</w:t>
      </w:r>
      <w:r>
        <w:t>nek teljesítése</w:t>
      </w:r>
      <w:r w:rsidRPr="00943913">
        <w:t xml:space="preserve"> nettó finanszírozás keretében levonásra kerül </w:t>
      </w:r>
      <w:r>
        <w:t>november</w:t>
      </w:r>
      <w:r w:rsidRPr="00943913">
        <w:t xml:space="preserve"> hónapban</w:t>
      </w:r>
      <w:r>
        <w:t>. A harmadik negyedéves mérlegjelentés adatai alapján megállapításra került, hogy a fizetési kötelezettségünk 137.364.321 Ft lesz, melyet a helyi iparűzési adó előirányzat növelése mellett javaslok betervezni az alábbiak szerint:</w:t>
      </w:r>
    </w:p>
    <w:p w14:paraId="26A91006" w14:textId="5D9ABB96" w:rsidR="00943913" w:rsidRDefault="00943913" w:rsidP="00943913">
      <w:r w:rsidRPr="00BF7633">
        <w:t>A</w:t>
      </w:r>
      <w:r>
        <w:t>z</w:t>
      </w:r>
      <w:r w:rsidRPr="00BF7633">
        <w:t xml:space="preserve"> Önkormányzat költségvetésében </w:t>
      </w:r>
      <w:r>
        <w:t>az</w:t>
      </w:r>
      <w:r w:rsidRPr="00FE47F7">
        <w:t xml:space="preserve"> Önkormányzatok elszámolásai a központi költségvetéssel</w:t>
      </w:r>
      <w:r w:rsidRPr="00FC74AA">
        <w:t xml:space="preserve"> </w:t>
      </w:r>
      <w:r w:rsidRPr="00BF7633">
        <w:t>(</w:t>
      </w:r>
      <w:r>
        <w:t>018010</w:t>
      </w:r>
      <w:r w:rsidRPr="00BF7633">
        <w:t xml:space="preserve">-Köt.) kormányzati funkción </w:t>
      </w:r>
      <w:r>
        <w:t>a h</w:t>
      </w:r>
      <w:r w:rsidRPr="002A02C4">
        <w:t>elyi önkormányzatok törvényi előíráson alapuló befizetései</w:t>
      </w:r>
      <w:r>
        <w:t xml:space="preserve"> (K5022) kiadási előirányzatát 137.364.321 Ft-tal javaslom megnövelni. Ezzel egyidőben a</w:t>
      </w:r>
      <w:r w:rsidR="00331170">
        <w:t>z</w:t>
      </w:r>
      <w:r>
        <w:t xml:space="preserve"> </w:t>
      </w:r>
      <w:r w:rsidRPr="00943913">
        <w:t>Önkormányzatok funkcióra nem sorolható bevételei államháztartáson kívülről</w:t>
      </w:r>
      <w:r>
        <w:t xml:space="preserve"> (900020-Köt) kormányzati funkción az </w:t>
      </w:r>
      <w:r w:rsidRPr="00943913">
        <w:t>Értékesítési és forgalmi adók</w:t>
      </w:r>
      <w:r>
        <w:t xml:space="preserve"> (B351) bevételi előirányzata 137.364.321 Ft-tal nő.</w:t>
      </w:r>
    </w:p>
    <w:p w14:paraId="08D8B4C7" w14:textId="77777777" w:rsidR="00CF2C2B" w:rsidRDefault="00CF2C2B" w:rsidP="00943913"/>
    <w:p w14:paraId="04A8F923" w14:textId="4A4BAC7B" w:rsidR="00CF2C2B" w:rsidRDefault="00CF2C2B" w:rsidP="00CF2C2B">
      <w:pPr>
        <w:pStyle w:val="Listaszerbekezds"/>
        <w:ind w:left="426" w:hanging="426"/>
      </w:pPr>
      <w:r>
        <w:t>Önkormányzatunk megkapta az Energiaügyi Minisztérium Európai Uniós Fejlesztések Végrehajtásáért Felelős Helyettes Államtitkárságtól az Energia menedzsment rendszerek fejlesztése és bevezetése önkormányzatok számára</w:t>
      </w:r>
      <w:r w:rsidR="00342319">
        <w:t xml:space="preserve"> című felhívásra benyújtott,</w:t>
      </w:r>
      <w:r>
        <w:t xml:space="preserve"> DIMOP</w:t>
      </w:r>
      <w:r w:rsidR="00342319">
        <w:t>_</w:t>
      </w:r>
      <w:r>
        <w:t>PLUSZ-2.1.1-24-2025</w:t>
      </w:r>
      <w:r w:rsidR="00342319">
        <w:t>-00087 azonosítószámmal nyilvántartott támogatási kérelméről szóló</w:t>
      </w:r>
      <w:r>
        <w:t xml:space="preserve"> támogatói döntést</w:t>
      </w:r>
      <w:r w:rsidR="00342319">
        <w:t>. Ez alapján Önkormányzatunk 224.511.148 Ft támogatásban részesül.</w:t>
      </w:r>
      <w:r>
        <w:t xml:space="preserve"> </w:t>
      </w:r>
      <w:r w:rsidR="00342319">
        <w:t>A</w:t>
      </w:r>
      <w:r>
        <w:t xml:space="preserve"> támogatói okirat készítése még folyamatban van, azonban a kiadások teljesítése érdekében szükséges a pályázattal kapcsolatos előirányzatok tervezése. A pályázatban személyi kiadások is szerepelnek, melyeket a Polgármesteri Hivatal belső teljesítésében kívánunk elszámolni, ezért ennek előirányzatát </w:t>
      </w:r>
      <w:r>
        <w:lastRenderedPageBreak/>
        <w:t xml:space="preserve">céltartalékba javaslom tervezni, amely </w:t>
      </w:r>
      <w:r w:rsidR="00342319">
        <w:t xml:space="preserve">a pályázati </w:t>
      </w:r>
      <w:r>
        <w:t>elszámolások alkalm</w:t>
      </w:r>
      <w:r w:rsidR="00342319">
        <w:t>ával</w:t>
      </w:r>
      <w:r>
        <w:t xml:space="preserve"> kerül</w:t>
      </w:r>
      <w:r w:rsidR="00342319">
        <w:t xml:space="preserve"> majd átvezetésre. Fentiek miatt javaslom az alábbi táblázat</w:t>
      </w:r>
      <w:r w:rsidR="009431F4">
        <w:t>ok</w:t>
      </w:r>
      <w:r w:rsidR="00342319">
        <w:t xml:space="preserve"> szerinti módosítás elfogadását:</w:t>
      </w:r>
    </w:p>
    <w:tbl>
      <w:tblPr>
        <w:tblW w:w="83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5780"/>
        <w:gridCol w:w="1640"/>
      </w:tblGrid>
      <w:tr w:rsidR="009431F4" w:rsidRPr="009431F4" w14:paraId="74DDD568" w14:textId="77777777" w:rsidTr="009431F4">
        <w:trPr>
          <w:trHeight w:val="288"/>
          <w:jc w:val="center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728D77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9431F4">
              <w:rPr>
                <w:b/>
                <w:bCs/>
                <w:sz w:val="22"/>
                <w:szCs w:val="22"/>
              </w:rPr>
              <w:t>013370</w:t>
            </w:r>
          </w:p>
        </w:tc>
        <w:tc>
          <w:tcPr>
            <w:tcW w:w="74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2A9BDA8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9431F4">
              <w:rPr>
                <w:b/>
                <w:bCs/>
                <w:sz w:val="22"/>
                <w:szCs w:val="22"/>
              </w:rPr>
              <w:t>Informatikai fejlesztések, szolgáltatások - Kötelező</w:t>
            </w:r>
          </w:p>
        </w:tc>
      </w:tr>
      <w:tr w:rsidR="009431F4" w:rsidRPr="009431F4" w14:paraId="75826262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0EEE3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 xml:space="preserve"> K3311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4E98143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9431F4">
              <w:rPr>
                <w:b/>
                <w:bCs/>
                <w:sz w:val="20"/>
                <w:u w:val="single"/>
              </w:rPr>
              <w:t>Villamosenergia szolgáltatás díja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D10B87D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431F4">
              <w:rPr>
                <w:rFonts w:ascii="Calibri" w:hAnsi="Calibri" w:cs="Calibri"/>
                <w:color w:val="000000"/>
                <w:sz w:val="20"/>
              </w:rPr>
              <w:t>785 335 Ft</w:t>
            </w:r>
          </w:p>
        </w:tc>
      </w:tr>
      <w:tr w:rsidR="009431F4" w:rsidRPr="009431F4" w14:paraId="7EF0AD55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534AD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 xml:space="preserve"> K3312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C29A0E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9431F4">
              <w:rPr>
                <w:b/>
                <w:bCs/>
                <w:sz w:val="20"/>
                <w:u w:val="single"/>
              </w:rPr>
              <w:t>Gázenergia szolgáltatás díja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49CD052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431F4">
              <w:rPr>
                <w:rFonts w:ascii="Calibri" w:hAnsi="Calibri" w:cs="Calibri"/>
                <w:color w:val="000000"/>
                <w:sz w:val="20"/>
              </w:rPr>
              <w:t>785 336 Ft</w:t>
            </w:r>
          </w:p>
        </w:tc>
      </w:tr>
      <w:tr w:rsidR="009431F4" w:rsidRPr="009431F4" w14:paraId="2785C4CC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68405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 xml:space="preserve"> K336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73B49F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9431F4">
              <w:rPr>
                <w:b/>
                <w:bCs/>
                <w:sz w:val="20"/>
                <w:u w:val="single"/>
              </w:rPr>
              <w:t>Szakmai tevékenységet segítő szolgáltatás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1E4F487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431F4">
              <w:rPr>
                <w:rFonts w:ascii="Calibri" w:hAnsi="Calibri" w:cs="Calibri"/>
                <w:color w:val="000000"/>
                <w:sz w:val="20"/>
              </w:rPr>
              <w:t>2 973 564 Ft</w:t>
            </w:r>
          </w:p>
        </w:tc>
      </w:tr>
      <w:tr w:rsidR="009431F4" w:rsidRPr="009431F4" w14:paraId="0D08F0F4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B9336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 xml:space="preserve"> K337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AB54EF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9431F4">
              <w:rPr>
                <w:b/>
                <w:bCs/>
                <w:sz w:val="20"/>
                <w:u w:val="single"/>
              </w:rPr>
              <w:t>Egyéb szolgáltatások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E63842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431F4">
              <w:rPr>
                <w:rFonts w:ascii="Calibri" w:hAnsi="Calibri" w:cs="Calibri"/>
                <w:color w:val="000000"/>
                <w:sz w:val="20"/>
              </w:rPr>
              <w:t>3 490 806 Ft</w:t>
            </w:r>
          </w:p>
        </w:tc>
      </w:tr>
      <w:tr w:rsidR="009431F4" w:rsidRPr="009431F4" w14:paraId="6A084BC7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0843A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 xml:space="preserve"> K342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3AD78C4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9431F4">
              <w:rPr>
                <w:b/>
                <w:bCs/>
                <w:sz w:val="20"/>
                <w:u w:val="single"/>
              </w:rPr>
              <w:t>Reklám- és propagandakiadások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FECCEC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431F4">
              <w:rPr>
                <w:rFonts w:ascii="Calibri" w:hAnsi="Calibri" w:cs="Calibri"/>
                <w:color w:val="000000"/>
                <w:sz w:val="20"/>
              </w:rPr>
              <w:t>1 045 336 Ft</w:t>
            </w:r>
          </w:p>
        </w:tc>
      </w:tr>
      <w:tr w:rsidR="009431F4" w:rsidRPr="009431F4" w14:paraId="5D493055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00D86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 xml:space="preserve"> K351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23ADAA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9431F4">
              <w:rPr>
                <w:b/>
                <w:bCs/>
                <w:sz w:val="20"/>
                <w:u w:val="single"/>
              </w:rPr>
              <w:t>Működési célú előzetesen felszámított általános forgalmi adó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8CA2062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431F4">
              <w:rPr>
                <w:rFonts w:ascii="Calibri" w:hAnsi="Calibri" w:cs="Calibri"/>
                <w:color w:val="000000"/>
                <w:sz w:val="20"/>
              </w:rPr>
              <w:t>2 392 303 Ft</w:t>
            </w:r>
          </w:p>
        </w:tc>
      </w:tr>
      <w:tr w:rsidR="009431F4" w:rsidRPr="009431F4" w14:paraId="192900E7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019D3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 xml:space="preserve"> K355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97B9189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9431F4">
              <w:rPr>
                <w:b/>
                <w:bCs/>
                <w:sz w:val="20"/>
                <w:u w:val="single"/>
              </w:rPr>
              <w:t>Egyéb dologi kiadások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48B2575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431F4">
              <w:rPr>
                <w:rFonts w:ascii="Calibri" w:hAnsi="Calibri" w:cs="Calibri"/>
                <w:color w:val="000000"/>
                <w:sz w:val="20"/>
              </w:rPr>
              <w:t>40 000 Ft</w:t>
            </w:r>
          </w:p>
        </w:tc>
      </w:tr>
      <w:tr w:rsidR="009431F4" w:rsidRPr="009431F4" w14:paraId="2FFD1218" w14:textId="77777777" w:rsidTr="009431F4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5145A16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08D0D25D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9431F4">
              <w:rPr>
                <w:b/>
                <w:bCs/>
                <w:sz w:val="20"/>
              </w:rPr>
              <w:t>Dologi kiadás összesen: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E23017E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9431F4">
              <w:rPr>
                <w:b/>
                <w:bCs/>
                <w:sz w:val="20"/>
              </w:rPr>
              <w:t>11 512 680 Ft</w:t>
            </w:r>
          </w:p>
        </w:tc>
      </w:tr>
      <w:tr w:rsidR="009431F4" w:rsidRPr="009431F4" w14:paraId="7C5360C5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BFBF6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 xml:space="preserve"> K61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2EDCCA8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9431F4">
              <w:rPr>
                <w:b/>
                <w:bCs/>
                <w:sz w:val="20"/>
                <w:u w:val="single"/>
              </w:rPr>
              <w:t>Egyéb tárgyi eszközök beszerzése, létesítése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D11D08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431F4">
              <w:rPr>
                <w:rFonts w:ascii="Calibri" w:hAnsi="Calibri" w:cs="Calibri"/>
                <w:color w:val="000000"/>
                <w:sz w:val="20"/>
              </w:rPr>
              <w:t>10 033 906 Ft</w:t>
            </w:r>
          </w:p>
        </w:tc>
      </w:tr>
      <w:tr w:rsidR="009431F4" w:rsidRPr="009431F4" w14:paraId="614508A4" w14:textId="77777777" w:rsidTr="009431F4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44D7E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 xml:space="preserve"> K67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0DB238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9431F4">
              <w:rPr>
                <w:b/>
                <w:bCs/>
                <w:sz w:val="20"/>
                <w:u w:val="single"/>
              </w:rPr>
              <w:t>Beruházási célú előzetesen felszámított általános forgalmi adó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57AC0D8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431F4">
              <w:rPr>
                <w:rFonts w:ascii="Calibri" w:hAnsi="Calibri" w:cs="Calibri"/>
                <w:color w:val="000000"/>
                <w:sz w:val="20"/>
              </w:rPr>
              <w:t>2 709 154 Ft</w:t>
            </w:r>
          </w:p>
        </w:tc>
      </w:tr>
      <w:tr w:rsidR="009431F4" w:rsidRPr="009431F4" w14:paraId="07E236A4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069642E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bottom"/>
            <w:hideMark/>
          </w:tcPr>
          <w:p w14:paraId="56350211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9431F4">
              <w:rPr>
                <w:b/>
                <w:bCs/>
                <w:sz w:val="20"/>
              </w:rPr>
              <w:t>Beruházás összesen: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A9D1959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9431F4">
              <w:rPr>
                <w:b/>
                <w:bCs/>
                <w:sz w:val="20"/>
              </w:rPr>
              <w:t>12 743 060 Ft</w:t>
            </w:r>
          </w:p>
        </w:tc>
      </w:tr>
      <w:tr w:rsidR="009431F4" w:rsidRPr="009431F4" w14:paraId="6F80462F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6D3C0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 xml:space="preserve"> K71 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A0619A1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9431F4">
              <w:rPr>
                <w:b/>
                <w:bCs/>
                <w:sz w:val="20"/>
                <w:u w:val="single"/>
              </w:rPr>
              <w:t>Ingatlanok felújítása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7122E1F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431F4">
              <w:rPr>
                <w:rFonts w:ascii="Calibri" w:hAnsi="Calibri" w:cs="Calibri"/>
                <w:color w:val="000000"/>
                <w:sz w:val="20"/>
              </w:rPr>
              <w:t>149 289 172 Ft</w:t>
            </w:r>
          </w:p>
        </w:tc>
      </w:tr>
      <w:tr w:rsidR="009431F4" w:rsidRPr="009431F4" w14:paraId="2169C2D7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15AA2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 xml:space="preserve"> K74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FCEBF82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9431F4">
              <w:rPr>
                <w:b/>
                <w:bCs/>
                <w:sz w:val="20"/>
                <w:u w:val="single"/>
              </w:rPr>
              <w:t>Felújítási célú előzetesen felszámított általános forgalmi adó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995C315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431F4">
              <w:rPr>
                <w:rFonts w:ascii="Calibri" w:hAnsi="Calibri" w:cs="Calibri"/>
                <w:color w:val="000000"/>
                <w:sz w:val="20"/>
              </w:rPr>
              <w:t>40 308 076 Ft</w:t>
            </w:r>
          </w:p>
        </w:tc>
      </w:tr>
      <w:tr w:rsidR="009431F4" w:rsidRPr="009431F4" w14:paraId="7F6D23DB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1646D25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bottom"/>
            <w:hideMark/>
          </w:tcPr>
          <w:p w14:paraId="34BC29BD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9431F4">
              <w:rPr>
                <w:b/>
                <w:bCs/>
                <w:sz w:val="20"/>
              </w:rPr>
              <w:t>Felújítás összesen: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19A16E5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9431F4">
              <w:rPr>
                <w:b/>
                <w:bCs/>
                <w:sz w:val="20"/>
              </w:rPr>
              <w:t>189 597 248 Ft</w:t>
            </w:r>
          </w:p>
        </w:tc>
      </w:tr>
      <w:tr w:rsidR="009431F4" w:rsidRPr="009431F4" w14:paraId="1DE163A9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9059281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bottom"/>
            <w:hideMark/>
          </w:tcPr>
          <w:p w14:paraId="05D221C7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9431F4">
              <w:rPr>
                <w:b/>
                <w:bCs/>
                <w:sz w:val="20"/>
              </w:rPr>
              <w:t>Kiadások összesen: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9668AA2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9431F4">
              <w:rPr>
                <w:b/>
                <w:bCs/>
                <w:sz w:val="20"/>
              </w:rPr>
              <w:t>213 852 988 Ft</w:t>
            </w:r>
          </w:p>
        </w:tc>
      </w:tr>
      <w:tr w:rsidR="009431F4" w:rsidRPr="009431F4" w14:paraId="5223228F" w14:textId="77777777" w:rsidTr="009431F4">
        <w:trPr>
          <w:trHeight w:val="552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91911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 xml:space="preserve"> B16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0396BD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9431F4">
              <w:rPr>
                <w:b/>
                <w:bCs/>
                <w:sz w:val="20"/>
                <w:u w:val="single"/>
              </w:rPr>
              <w:t>Egyéb működési célú támogatások bevételei államháztartáson belülről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6BAAA46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431F4">
              <w:rPr>
                <w:rFonts w:ascii="Calibri" w:hAnsi="Calibri" w:cs="Calibri"/>
                <w:color w:val="000000"/>
                <w:sz w:val="20"/>
              </w:rPr>
              <w:t>22 170 840 Ft</w:t>
            </w:r>
          </w:p>
        </w:tc>
      </w:tr>
      <w:tr w:rsidR="009431F4" w:rsidRPr="009431F4" w14:paraId="472F04C9" w14:textId="77777777" w:rsidTr="009431F4">
        <w:trPr>
          <w:trHeight w:val="552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8F1ADB4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 xml:space="preserve"> B25 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5AA19F7E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9431F4">
              <w:rPr>
                <w:b/>
                <w:bCs/>
                <w:sz w:val="20"/>
                <w:u w:val="single"/>
              </w:rPr>
              <w:t>Egyéb felhalmozási célú támogatások bevételei államháztartáson belülről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5707B18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431F4">
              <w:rPr>
                <w:rFonts w:ascii="Calibri" w:hAnsi="Calibri" w:cs="Calibri"/>
                <w:color w:val="000000"/>
                <w:sz w:val="20"/>
              </w:rPr>
              <w:t>202 340 308 Ft</w:t>
            </w:r>
          </w:p>
        </w:tc>
      </w:tr>
      <w:tr w:rsidR="009431F4" w:rsidRPr="009431F4" w14:paraId="246F0FB2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1D76E48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0AEA322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9431F4">
              <w:rPr>
                <w:b/>
                <w:bCs/>
                <w:sz w:val="20"/>
              </w:rPr>
              <w:t>Bevételek összesen: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6B54D9A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9431F4">
              <w:rPr>
                <w:b/>
                <w:bCs/>
                <w:sz w:val="20"/>
              </w:rPr>
              <w:t>224 511 148 Ft</w:t>
            </w:r>
          </w:p>
        </w:tc>
      </w:tr>
      <w:tr w:rsidR="009431F4" w:rsidRPr="009431F4" w14:paraId="39B13F78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B9F827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71DDDE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593E20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0"/>
              </w:rPr>
            </w:pPr>
          </w:p>
        </w:tc>
      </w:tr>
      <w:tr w:rsidR="009431F4" w:rsidRPr="009431F4" w14:paraId="3844B310" w14:textId="77777777" w:rsidTr="009431F4">
        <w:trPr>
          <w:trHeight w:val="288"/>
          <w:jc w:val="center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DCC35F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9431F4">
              <w:rPr>
                <w:b/>
                <w:bCs/>
                <w:sz w:val="22"/>
                <w:szCs w:val="22"/>
              </w:rPr>
              <w:t>900060</w:t>
            </w:r>
          </w:p>
        </w:tc>
        <w:tc>
          <w:tcPr>
            <w:tcW w:w="74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33FF91E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9431F4">
              <w:rPr>
                <w:b/>
                <w:bCs/>
                <w:sz w:val="22"/>
                <w:szCs w:val="22"/>
              </w:rPr>
              <w:t>Forgatási és befektetési célú finanszírozási műveletek - Kötelező</w:t>
            </w:r>
          </w:p>
        </w:tc>
      </w:tr>
      <w:tr w:rsidR="009431F4" w:rsidRPr="009431F4" w14:paraId="55BBD1A3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64B5F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 xml:space="preserve"> K513 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D65E32" w14:textId="50CD1EEB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9431F4">
              <w:rPr>
                <w:b/>
                <w:bCs/>
                <w:sz w:val="20"/>
                <w:u w:val="single"/>
              </w:rPr>
              <w:t>Tartalékok</w:t>
            </w:r>
            <w:r>
              <w:rPr>
                <w:b/>
                <w:bCs/>
                <w:sz w:val="20"/>
                <w:u w:val="single"/>
              </w:rPr>
              <w:t xml:space="preserve"> (céltartalék)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E8601C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9431F4">
              <w:rPr>
                <w:rFonts w:ascii="Calibri" w:hAnsi="Calibri" w:cs="Calibri"/>
                <w:color w:val="000000"/>
                <w:sz w:val="20"/>
              </w:rPr>
              <w:t>10 658 160 Ft</w:t>
            </w:r>
          </w:p>
        </w:tc>
      </w:tr>
      <w:tr w:rsidR="009431F4" w:rsidRPr="009431F4" w14:paraId="676D1042" w14:textId="77777777" w:rsidTr="009431F4">
        <w:trPr>
          <w:trHeight w:val="300"/>
          <w:jc w:val="center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1662E49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9431F4">
              <w:rPr>
                <w:sz w:val="20"/>
              </w:rPr>
              <w:t> 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bottom"/>
            <w:hideMark/>
          </w:tcPr>
          <w:p w14:paraId="680A78B7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9431F4">
              <w:rPr>
                <w:b/>
                <w:bCs/>
                <w:sz w:val="20"/>
              </w:rPr>
              <w:t>Kiadások összesen: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4C5E848" w14:textId="77777777" w:rsidR="009431F4" w:rsidRPr="009431F4" w:rsidRDefault="009431F4" w:rsidP="009431F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9431F4">
              <w:rPr>
                <w:b/>
                <w:bCs/>
                <w:sz w:val="20"/>
              </w:rPr>
              <w:t>10 658 160 Ft</w:t>
            </w:r>
          </w:p>
        </w:tc>
      </w:tr>
    </w:tbl>
    <w:p w14:paraId="66CBBFAA" w14:textId="77777777" w:rsidR="001A2A4B" w:rsidRDefault="001A2A4B" w:rsidP="001A2A4B">
      <w:pPr>
        <w:ind w:left="1145" w:hanging="360"/>
      </w:pPr>
    </w:p>
    <w:p w14:paraId="504AE34A" w14:textId="5D06BE9F" w:rsidR="00342319" w:rsidRDefault="00A73585" w:rsidP="00A73585">
      <w:pPr>
        <w:pStyle w:val="Listaszerbekezds"/>
        <w:ind w:left="426" w:hanging="426"/>
      </w:pPr>
      <w:r>
        <w:t>A Bölcsődei nevelés fejlesztése Tiszavasváriban RRF-1.1.2-21-2022-00101 azonosítószámú pályázati okiratban több módosítás is történt, amelyek a költségvetésünkben még nem kerültek átvezetésre, ezért az alábbi táblázat szerinti módosítás elfogadását javaslom:</w:t>
      </w:r>
    </w:p>
    <w:tbl>
      <w:tblPr>
        <w:tblW w:w="83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5780"/>
        <w:gridCol w:w="1640"/>
      </w:tblGrid>
      <w:tr w:rsidR="001A2A4B" w:rsidRPr="001A2A4B" w14:paraId="77C94922" w14:textId="77777777" w:rsidTr="001A2A4B">
        <w:trPr>
          <w:trHeight w:val="288"/>
          <w:jc w:val="center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A55B44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1A2A4B">
              <w:rPr>
                <w:b/>
                <w:bCs/>
                <w:sz w:val="22"/>
                <w:szCs w:val="22"/>
              </w:rPr>
              <w:t>104031</w:t>
            </w:r>
          </w:p>
        </w:tc>
        <w:tc>
          <w:tcPr>
            <w:tcW w:w="74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AB1174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1A2A4B">
              <w:rPr>
                <w:b/>
                <w:bCs/>
                <w:sz w:val="22"/>
                <w:szCs w:val="22"/>
              </w:rPr>
              <w:t xml:space="preserve">Gyermekek bölcsődében és mini bölcsődében történő ellátása </w:t>
            </w:r>
          </w:p>
        </w:tc>
      </w:tr>
      <w:tr w:rsidR="001A2A4B" w:rsidRPr="001A2A4B" w14:paraId="574B7EDD" w14:textId="77777777" w:rsidTr="001A2A4B">
        <w:trPr>
          <w:trHeight w:val="300"/>
          <w:jc w:val="center"/>
        </w:trPr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78DD3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A2A4B">
              <w:rPr>
                <w:sz w:val="20"/>
              </w:rPr>
              <w:t xml:space="preserve"> K312 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CD8946B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A2A4B">
              <w:rPr>
                <w:b/>
                <w:bCs/>
                <w:sz w:val="20"/>
                <w:u w:val="single"/>
              </w:rPr>
              <w:t>Üzemeltetési anyagok beszerzése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BC2B2A0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1A2A4B">
              <w:rPr>
                <w:rFonts w:ascii="Calibri" w:hAnsi="Calibri" w:cs="Calibri"/>
                <w:color w:val="000000"/>
                <w:sz w:val="20"/>
              </w:rPr>
              <w:t>19 690 Ft</w:t>
            </w:r>
          </w:p>
        </w:tc>
      </w:tr>
      <w:tr w:rsidR="001A2A4B" w:rsidRPr="001A2A4B" w14:paraId="768E9EC6" w14:textId="77777777" w:rsidTr="001A2A4B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EBCDB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A2A4B">
              <w:rPr>
                <w:sz w:val="20"/>
              </w:rPr>
              <w:t xml:space="preserve"> K336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AFC580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A2A4B">
              <w:rPr>
                <w:b/>
                <w:bCs/>
                <w:sz w:val="20"/>
                <w:u w:val="single"/>
              </w:rPr>
              <w:t>Szakmai tevékenységet segítő szolgáltatás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3386BDC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1A2A4B">
              <w:rPr>
                <w:rFonts w:ascii="Calibri" w:hAnsi="Calibri" w:cs="Calibri"/>
                <w:color w:val="000000"/>
                <w:sz w:val="20"/>
              </w:rPr>
              <w:t>277 395 Ft</w:t>
            </w:r>
          </w:p>
        </w:tc>
      </w:tr>
      <w:tr w:rsidR="001A2A4B" w:rsidRPr="001A2A4B" w14:paraId="3B93FE1F" w14:textId="77777777" w:rsidTr="001A2A4B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E198C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A2A4B">
              <w:rPr>
                <w:sz w:val="20"/>
              </w:rPr>
              <w:t xml:space="preserve"> K342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D70760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A2A4B">
              <w:rPr>
                <w:b/>
                <w:bCs/>
                <w:sz w:val="20"/>
                <w:u w:val="single"/>
              </w:rPr>
              <w:t>Reklám- és propagandakiadások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E42967C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1A2A4B">
              <w:rPr>
                <w:rFonts w:ascii="Calibri" w:hAnsi="Calibri" w:cs="Calibri"/>
                <w:color w:val="000000"/>
                <w:sz w:val="20"/>
              </w:rPr>
              <w:t>85 039 Ft</w:t>
            </w:r>
          </w:p>
        </w:tc>
      </w:tr>
      <w:tr w:rsidR="001A2A4B" w:rsidRPr="001A2A4B" w14:paraId="12C987E5" w14:textId="77777777" w:rsidTr="001A2A4B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8B464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A2A4B">
              <w:rPr>
                <w:sz w:val="20"/>
              </w:rPr>
              <w:t xml:space="preserve"> K351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7D44F6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A2A4B">
              <w:rPr>
                <w:b/>
                <w:bCs/>
                <w:sz w:val="20"/>
                <w:u w:val="single"/>
              </w:rPr>
              <w:t>Működési célú előzetesen felszámított általános forgalmi adó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CB42AB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1A2A4B">
              <w:rPr>
                <w:rFonts w:ascii="Calibri" w:hAnsi="Calibri" w:cs="Calibri"/>
                <w:color w:val="000000"/>
                <w:sz w:val="20"/>
              </w:rPr>
              <w:t>-366 990 Ft</w:t>
            </w:r>
          </w:p>
        </w:tc>
      </w:tr>
      <w:tr w:rsidR="001A2A4B" w:rsidRPr="001A2A4B" w14:paraId="74A00CE3" w14:textId="77777777" w:rsidTr="001A2A4B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F13B6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A2A4B">
              <w:rPr>
                <w:sz w:val="20"/>
              </w:rPr>
              <w:t xml:space="preserve"> K352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541DCF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A2A4B">
              <w:rPr>
                <w:b/>
                <w:bCs/>
                <w:sz w:val="20"/>
                <w:u w:val="single"/>
              </w:rPr>
              <w:t>Fizetendő általános forgalmi adó előirányzata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E086F3C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1A2A4B">
              <w:rPr>
                <w:rFonts w:ascii="Calibri" w:hAnsi="Calibri" w:cs="Calibri"/>
                <w:color w:val="000000"/>
                <w:sz w:val="20"/>
              </w:rPr>
              <w:t>-1 239 881 Ft</w:t>
            </w:r>
          </w:p>
        </w:tc>
      </w:tr>
      <w:tr w:rsidR="001A2A4B" w:rsidRPr="001A2A4B" w14:paraId="5CF71F2C" w14:textId="77777777" w:rsidTr="001A2A4B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B1B543B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A2A4B">
              <w:rPr>
                <w:sz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14:paraId="227B2757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1A2A4B">
              <w:rPr>
                <w:b/>
                <w:bCs/>
                <w:sz w:val="20"/>
              </w:rPr>
              <w:t>Dologi kiadás összesen: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9A0E827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1A2A4B">
              <w:rPr>
                <w:b/>
                <w:bCs/>
                <w:sz w:val="20"/>
              </w:rPr>
              <w:t>-1 224 747 Ft</w:t>
            </w:r>
          </w:p>
        </w:tc>
      </w:tr>
      <w:tr w:rsidR="001A2A4B" w:rsidRPr="001A2A4B" w14:paraId="2D6E7F5B" w14:textId="77777777" w:rsidTr="001A2A4B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3B042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A2A4B">
              <w:rPr>
                <w:sz w:val="20"/>
              </w:rPr>
              <w:t xml:space="preserve"> K61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3D7C36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A2A4B">
              <w:rPr>
                <w:b/>
                <w:bCs/>
                <w:sz w:val="20"/>
                <w:u w:val="single"/>
              </w:rPr>
              <w:t>Egyéb tárgyi eszközök beszerzése, létesítése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5D31237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1A2A4B">
              <w:rPr>
                <w:rFonts w:ascii="Calibri" w:hAnsi="Calibri" w:cs="Calibri"/>
                <w:color w:val="000000"/>
                <w:sz w:val="20"/>
              </w:rPr>
              <w:t>-150 000 Ft</w:t>
            </w:r>
          </w:p>
        </w:tc>
      </w:tr>
      <w:tr w:rsidR="001A2A4B" w:rsidRPr="001A2A4B" w14:paraId="24FF0269" w14:textId="77777777" w:rsidTr="001A2A4B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88274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A2A4B">
              <w:rPr>
                <w:sz w:val="20"/>
              </w:rPr>
              <w:t xml:space="preserve"> K62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515F0D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A2A4B">
              <w:rPr>
                <w:b/>
                <w:bCs/>
                <w:sz w:val="20"/>
                <w:u w:val="single"/>
              </w:rPr>
              <w:t>Ingatlanok beszerzése, létesítése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2B8576E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1A2A4B">
              <w:rPr>
                <w:rFonts w:ascii="Calibri" w:hAnsi="Calibri" w:cs="Calibri"/>
                <w:color w:val="000000"/>
                <w:sz w:val="20"/>
              </w:rPr>
              <w:t>-3 875 173 Ft</w:t>
            </w:r>
          </w:p>
        </w:tc>
      </w:tr>
      <w:tr w:rsidR="001A2A4B" w:rsidRPr="001A2A4B" w14:paraId="3BB7B542" w14:textId="77777777" w:rsidTr="001A2A4B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C3BE7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A2A4B">
              <w:rPr>
                <w:sz w:val="20"/>
              </w:rPr>
              <w:t xml:space="preserve"> K64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E62EAE0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A2A4B">
              <w:rPr>
                <w:b/>
                <w:bCs/>
                <w:sz w:val="20"/>
                <w:u w:val="single"/>
              </w:rPr>
              <w:t>Egyéb tárgyi eszközök beszerzése, létesítése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3D98B09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1A2A4B">
              <w:rPr>
                <w:rFonts w:ascii="Calibri" w:hAnsi="Calibri" w:cs="Calibri"/>
                <w:color w:val="000000"/>
                <w:sz w:val="20"/>
              </w:rPr>
              <w:t>4 453 083 Ft</w:t>
            </w:r>
          </w:p>
        </w:tc>
      </w:tr>
      <w:tr w:rsidR="001A2A4B" w:rsidRPr="001A2A4B" w14:paraId="51D9510E" w14:textId="77777777" w:rsidTr="001A2A4B">
        <w:trPr>
          <w:trHeight w:val="288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1686A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A2A4B">
              <w:rPr>
                <w:sz w:val="20"/>
              </w:rPr>
              <w:t xml:space="preserve"> K67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FF7044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A2A4B">
              <w:rPr>
                <w:b/>
                <w:bCs/>
                <w:sz w:val="20"/>
                <w:u w:val="single"/>
              </w:rPr>
              <w:t>Beruházási célú előzetesen felszámított általános forgalmi adó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B82BEAA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1A2A4B">
              <w:rPr>
                <w:rFonts w:ascii="Calibri" w:hAnsi="Calibri" w:cs="Calibri"/>
                <w:color w:val="000000"/>
                <w:sz w:val="20"/>
              </w:rPr>
              <w:t>629 894 Ft</w:t>
            </w:r>
          </w:p>
        </w:tc>
      </w:tr>
      <w:tr w:rsidR="001A2A4B" w:rsidRPr="001A2A4B" w14:paraId="49D31B8B" w14:textId="77777777" w:rsidTr="001A2A4B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9076300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A2A4B">
              <w:rPr>
                <w:sz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bottom"/>
            <w:hideMark/>
          </w:tcPr>
          <w:p w14:paraId="4B6DB377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1A2A4B">
              <w:rPr>
                <w:b/>
                <w:bCs/>
                <w:sz w:val="20"/>
              </w:rPr>
              <w:t>Beruházás összesen: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A8ACC79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1A2A4B">
              <w:rPr>
                <w:b/>
                <w:bCs/>
                <w:sz w:val="20"/>
              </w:rPr>
              <w:t>1 057 804 Ft</w:t>
            </w:r>
          </w:p>
        </w:tc>
      </w:tr>
      <w:tr w:rsidR="001A2A4B" w:rsidRPr="001A2A4B" w14:paraId="1F27E0D9" w14:textId="77777777" w:rsidTr="001A2A4B">
        <w:trPr>
          <w:trHeight w:val="300"/>
          <w:jc w:val="center"/>
        </w:trPr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47851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A2A4B">
              <w:rPr>
                <w:sz w:val="20"/>
              </w:rPr>
              <w:lastRenderedPageBreak/>
              <w:t xml:space="preserve"> K71 </w:t>
            </w:r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C188694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A2A4B">
              <w:rPr>
                <w:b/>
                <w:bCs/>
                <w:sz w:val="20"/>
                <w:u w:val="single"/>
              </w:rPr>
              <w:t>Ingatlanok felújítása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3EFBCBA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1A2A4B">
              <w:rPr>
                <w:rFonts w:ascii="Calibri" w:hAnsi="Calibri" w:cs="Calibri"/>
                <w:color w:val="000000"/>
                <w:sz w:val="20"/>
              </w:rPr>
              <w:t>131 451 Ft</w:t>
            </w:r>
          </w:p>
        </w:tc>
      </w:tr>
      <w:tr w:rsidR="001A2A4B" w:rsidRPr="001A2A4B" w14:paraId="41336C5A" w14:textId="77777777" w:rsidTr="001A2A4B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99DED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A2A4B">
              <w:rPr>
                <w:sz w:val="20"/>
              </w:rPr>
              <w:t xml:space="preserve"> K74 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5C76AC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1A2A4B">
              <w:rPr>
                <w:b/>
                <w:bCs/>
                <w:sz w:val="20"/>
                <w:u w:val="single"/>
              </w:rPr>
              <w:t>Felújítási célú előzetesen felszámított általános forgalmi adó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E417BB3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1A2A4B">
              <w:rPr>
                <w:rFonts w:ascii="Calibri" w:hAnsi="Calibri" w:cs="Calibri"/>
                <w:color w:val="000000"/>
                <w:sz w:val="20"/>
              </w:rPr>
              <w:t>35 492 Ft</w:t>
            </w:r>
          </w:p>
        </w:tc>
      </w:tr>
      <w:tr w:rsidR="001A2A4B" w:rsidRPr="001A2A4B" w14:paraId="723495FD" w14:textId="77777777" w:rsidTr="001A2A4B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CD088DE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A2A4B">
              <w:rPr>
                <w:sz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bottom"/>
            <w:hideMark/>
          </w:tcPr>
          <w:p w14:paraId="171F9421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1A2A4B">
              <w:rPr>
                <w:b/>
                <w:bCs/>
                <w:sz w:val="20"/>
              </w:rPr>
              <w:t>Felújítás összesen: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182639F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1A2A4B">
              <w:rPr>
                <w:b/>
                <w:bCs/>
                <w:sz w:val="20"/>
              </w:rPr>
              <w:t>166 943 Ft</w:t>
            </w:r>
          </w:p>
        </w:tc>
      </w:tr>
      <w:tr w:rsidR="001A2A4B" w:rsidRPr="001A2A4B" w14:paraId="3D8B035D" w14:textId="77777777" w:rsidTr="001A2A4B">
        <w:trPr>
          <w:trHeight w:val="300"/>
          <w:jc w:val="center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66AF2D5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1A2A4B">
              <w:rPr>
                <w:sz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bottom"/>
            <w:hideMark/>
          </w:tcPr>
          <w:p w14:paraId="2FF2D32F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1A2A4B">
              <w:rPr>
                <w:b/>
                <w:bCs/>
                <w:sz w:val="20"/>
              </w:rPr>
              <w:t>Kiadások összesen: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19C8AF1" w14:textId="77777777" w:rsidR="001A2A4B" w:rsidRPr="001A2A4B" w:rsidRDefault="001A2A4B" w:rsidP="001A2A4B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0"/>
              </w:rPr>
            </w:pPr>
            <w:r w:rsidRPr="001A2A4B">
              <w:rPr>
                <w:b/>
                <w:bCs/>
                <w:sz w:val="20"/>
              </w:rPr>
              <w:t>0 Ft</w:t>
            </w:r>
          </w:p>
        </w:tc>
      </w:tr>
    </w:tbl>
    <w:p w14:paraId="3BC9E198" w14:textId="77777777" w:rsidR="001A2A4B" w:rsidRPr="001A2A4B" w:rsidRDefault="001A2A4B" w:rsidP="001A2A4B"/>
    <w:p w14:paraId="1D5FD668" w14:textId="77777777" w:rsidR="00943913" w:rsidRPr="00943913" w:rsidRDefault="00943913" w:rsidP="00943913"/>
    <w:p w14:paraId="74544206" w14:textId="55AB9427" w:rsidR="00D84014" w:rsidRDefault="00D84014" w:rsidP="008A0C57">
      <w:pPr>
        <w:ind w:left="0"/>
        <w:rPr>
          <w:b/>
          <w:bCs/>
        </w:rPr>
      </w:pPr>
      <w:r w:rsidRPr="00B31602">
        <w:rPr>
          <w:b/>
          <w:bCs/>
        </w:rPr>
        <w:t>Tájékoztatásul közlöm, hogy az alábbi átruházott hatáskörű döntés a költségvetésben átvezetésre kerül:</w:t>
      </w:r>
    </w:p>
    <w:p w14:paraId="15DCBE45" w14:textId="77777777" w:rsidR="00D84014" w:rsidRDefault="00D84014" w:rsidP="00D84014">
      <w:pPr>
        <w:rPr>
          <w:b/>
          <w:bCs/>
        </w:rPr>
      </w:pPr>
    </w:p>
    <w:p w14:paraId="2E9EE098" w14:textId="77777777" w:rsidR="00D84014" w:rsidRDefault="00D84014" w:rsidP="00D84014">
      <w:pPr>
        <w:rPr>
          <w:szCs w:val="24"/>
        </w:rPr>
      </w:pPr>
      <w:r w:rsidRPr="009114F0">
        <w:rPr>
          <w:szCs w:val="24"/>
        </w:rPr>
        <w:t>A</w:t>
      </w:r>
      <w:r>
        <w:rPr>
          <w:szCs w:val="24"/>
        </w:rPr>
        <w:t xml:space="preserve"> </w:t>
      </w:r>
      <w:r w:rsidRPr="00D84014">
        <w:rPr>
          <w:b/>
          <w:bCs/>
          <w:szCs w:val="24"/>
        </w:rPr>
        <w:t>7/</w:t>
      </w:r>
      <w:r w:rsidRPr="00F1630B">
        <w:rPr>
          <w:b/>
          <w:bCs/>
          <w:szCs w:val="24"/>
        </w:rPr>
        <w:t>202</w:t>
      </w:r>
      <w:r>
        <w:rPr>
          <w:b/>
          <w:bCs/>
          <w:szCs w:val="24"/>
        </w:rPr>
        <w:t>5</w:t>
      </w:r>
      <w:r w:rsidRPr="009114F0">
        <w:rPr>
          <w:szCs w:val="24"/>
        </w:rPr>
        <w:t>. iratszámú saját hatáskörű döntés</w:t>
      </w:r>
      <w:r>
        <w:rPr>
          <w:szCs w:val="24"/>
        </w:rPr>
        <w:t>ben két módosítást hajtottam végre:</w:t>
      </w:r>
    </w:p>
    <w:p w14:paraId="2842FDE3" w14:textId="77777777" w:rsidR="00D84014" w:rsidRDefault="00D84014" w:rsidP="00D84014">
      <w:pPr>
        <w:pStyle w:val="Listaszerbekezds"/>
        <w:numPr>
          <w:ilvl w:val="0"/>
          <w:numId w:val="0"/>
        </w:numPr>
        <w:overflowPunct/>
        <w:autoSpaceDE/>
        <w:autoSpaceDN/>
        <w:adjustRightInd/>
        <w:spacing w:before="0" w:after="0"/>
        <w:ind w:left="425"/>
        <w:textAlignment w:val="auto"/>
        <w:rPr>
          <w:szCs w:val="24"/>
        </w:rPr>
      </w:pPr>
    </w:p>
    <w:p w14:paraId="39A4928A" w14:textId="1A8C085F" w:rsidR="00D84014" w:rsidRDefault="00D84014" w:rsidP="00D84014">
      <w:pPr>
        <w:pStyle w:val="Listaszerbekezds"/>
        <w:numPr>
          <w:ilvl w:val="0"/>
          <w:numId w:val="0"/>
        </w:numPr>
        <w:overflowPunct/>
        <w:autoSpaceDE/>
        <w:autoSpaceDN/>
        <w:adjustRightInd/>
        <w:spacing w:before="0" w:after="360"/>
        <w:ind w:left="426"/>
        <w:textAlignment w:val="auto"/>
        <w:rPr>
          <w:rFonts w:cs="Times New Roman"/>
          <w:szCs w:val="24"/>
        </w:rPr>
      </w:pPr>
      <w:r>
        <w:rPr>
          <w:szCs w:val="24"/>
        </w:rPr>
        <w:t>Az 1. döntésre azért volt szükséges, mert az é</w:t>
      </w:r>
      <w:r w:rsidRPr="00A123AF">
        <w:rPr>
          <w:rFonts w:cs="Times New Roman"/>
          <w:szCs w:val="24"/>
        </w:rPr>
        <w:t xml:space="preserve">v eléjén a kitűnő tanulók díjazásának módja nem volt végleges, ezért adómentesen került tervezésre az előző évekhez hasonlóan, azonban strandbelépőket kaptak, amely általános forgalmi adót tartalmaz, ezért annak átcsoportosítása </w:t>
      </w:r>
      <w:r>
        <w:rPr>
          <w:rFonts w:cs="Times New Roman"/>
          <w:szCs w:val="24"/>
        </w:rPr>
        <w:t xml:space="preserve">volt </w:t>
      </w:r>
      <w:r w:rsidRPr="00A123AF">
        <w:rPr>
          <w:rFonts w:cs="Times New Roman"/>
          <w:szCs w:val="24"/>
        </w:rPr>
        <w:t xml:space="preserve">szükséges. Valamint új karácsonyi díszeket </w:t>
      </w:r>
      <w:r>
        <w:rPr>
          <w:rFonts w:cs="Times New Roman"/>
          <w:szCs w:val="24"/>
        </w:rPr>
        <w:t>rendeltünk meg</w:t>
      </w:r>
      <w:r w:rsidRPr="00A123AF">
        <w:rPr>
          <w:rFonts w:cs="Times New Roman"/>
          <w:szCs w:val="24"/>
        </w:rPr>
        <w:t>, amely érdekében a kormányzati funkción lévő szabad előirányzat átcsoportosítása v</w:t>
      </w:r>
      <w:r>
        <w:rPr>
          <w:rFonts w:cs="Times New Roman"/>
          <w:szCs w:val="24"/>
        </w:rPr>
        <w:t>ol</w:t>
      </w:r>
      <w:r w:rsidRPr="00A123AF">
        <w:rPr>
          <w:rFonts w:cs="Times New Roman"/>
          <w:szCs w:val="24"/>
        </w:rPr>
        <w:t>t szükséges</w:t>
      </w:r>
      <w:r>
        <w:rPr>
          <w:rFonts w:cs="Times New Roman"/>
          <w:szCs w:val="24"/>
        </w:rPr>
        <w:t xml:space="preserve"> az alábbi táblázat szerint: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7"/>
        <w:gridCol w:w="6418"/>
        <w:gridCol w:w="1933"/>
      </w:tblGrid>
      <w:tr w:rsidR="00D84014" w:rsidRPr="00C22729" w14:paraId="56CCD5AB" w14:textId="77777777" w:rsidTr="00D84014">
        <w:trPr>
          <w:trHeight w:val="576"/>
        </w:trPr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37D03D" w14:textId="77777777" w:rsidR="00D84014" w:rsidRPr="00C22729" w:rsidRDefault="00D84014" w:rsidP="00A45D85">
            <w:pPr>
              <w:rPr>
                <w:b/>
                <w:bCs/>
              </w:rPr>
            </w:pPr>
            <w:r w:rsidRPr="00C22729">
              <w:rPr>
                <w:b/>
                <w:bCs/>
              </w:rPr>
              <w:t>016080</w:t>
            </w:r>
          </w:p>
        </w:tc>
        <w:tc>
          <w:tcPr>
            <w:tcW w:w="333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3CB51C" w14:textId="77777777" w:rsidR="00D84014" w:rsidRPr="00C22729" w:rsidRDefault="00D84014" w:rsidP="00A45D85">
            <w:pPr>
              <w:rPr>
                <w:b/>
                <w:bCs/>
              </w:rPr>
            </w:pPr>
            <w:r w:rsidRPr="00C22729">
              <w:rPr>
                <w:b/>
                <w:bCs/>
              </w:rPr>
              <w:t xml:space="preserve">Az Önkormányzat költségvetésében a kiemelt állami és önkormányzati rendezvények 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CE43D" w14:textId="77777777" w:rsidR="00D84014" w:rsidRPr="00C22729" w:rsidRDefault="00D84014" w:rsidP="00A45D85">
            <w:pPr>
              <w:jc w:val="center"/>
            </w:pPr>
            <w:r w:rsidRPr="00C22729">
              <w:t>Önként vállalt</w:t>
            </w:r>
          </w:p>
        </w:tc>
      </w:tr>
      <w:tr w:rsidR="00D84014" w:rsidRPr="00C22729" w14:paraId="6AD2F9DA" w14:textId="77777777" w:rsidTr="00D84014">
        <w:trPr>
          <w:trHeight w:val="288"/>
        </w:trPr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DF557" w14:textId="77777777" w:rsidR="00D84014" w:rsidRPr="00C22729" w:rsidRDefault="00D84014" w:rsidP="00A45D85">
            <w:pPr>
              <w:rPr>
                <w:sz w:val="20"/>
              </w:rPr>
            </w:pPr>
            <w:r w:rsidRPr="00C22729">
              <w:rPr>
                <w:sz w:val="20"/>
              </w:rPr>
              <w:t xml:space="preserve"> K123 </w:t>
            </w:r>
          </w:p>
        </w:tc>
        <w:tc>
          <w:tcPr>
            <w:tcW w:w="33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29B383" w14:textId="77777777" w:rsidR="00D84014" w:rsidRPr="00C22729" w:rsidRDefault="00D84014" w:rsidP="00A45D85">
            <w:pPr>
              <w:rPr>
                <w:b/>
                <w:bCs/>
                <w:sz w:val="20"/>
                <w:u w:val="single"/>
              </w:rPr>
            </w:pPr>
            <w:r w:rsidRPr="00C22729">
              <w:rPr>
                <w:b/>
                <w:bCs/>
                <w:sz w:val="20"/>
                <w:u w:val="single"/>
              </w:rPr>
              <w:t>Egyéb külső személyi juttatások</w:t>
            </w:r>
          </w:p>
        </w:tc>
        <w:tc>
          <w:tcPr>
            <w:tcW w:w="10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3D8AF89" w14:textId="77777777" w:rsidR="00D84014" w:rsidRPr="00C22729" w:rsidRDefault="00D84014" w:rsidP="00A45D85">
            <w:pPr>
              <w:jc w:val="right"/>
            </w:pPr>
            <w:r w:rsidRPr="00C22729">
              <w:t>-1 531 496 Ft</w:t>
            </w:r>
          </w:p>
        </w:tc>
      </w:tr>
      <w:tr w:rsidR="00D84014" w:rsidRPr="00C22729" w14:paraId="0873A9E4" w14:textId="77777777" w:rsidTr="00D84014">
        <w:trPr>
          <w:trHeight w:val="288"/>
        </w:trPr>
        <w:tc>
          <w:tcPr>
            <w:tcW w:w="6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80D4B" w14:textId="77777777" w:rsidR="00D84014" w:rsidRPr="00C22729" w:rsidRDefault="00D84014" w:rsidP="00A45D85">
            <w:pPr>
              <w:rPr>
                <w:sz w:val="20"/>
              </w:rPr>
            </w:pPr>
            <w:r w:rsidRPr="00C22729">
              <w:rPr>
                <w:sz w:val="20"/>
              </w:rPr>
              <w:t xml:space="preserve"> K2 </w:t>
            </w:r>
          </w:p>
        </w:tc>
        <w:tc>
          <w:tcPr>
            <w:tcW w:w="3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2BBB5" w14:textId="77777777" w:rsidR="00D84014" w:rsidRPr="00C22729" w:rsidRDefault="00D84014" w:rsidP="00A45D85">
            <w:pPr>
              <w:rPr>
                <w:b/>
                <w:bCs/>
                <w:sz w:val="20"/>
                <w:u w:val="single"/>
              </w:rPr>
            </w:pPr>
            <w:r w:rsidRPr="00C22729">
              <w:rPr>
                <w:b/>
                <w:bCs/>
                <w:sz w:val="20"/>
                <w:u w:val="single"/>
              </w:rPr>
              <w:t>Munkaadókat terhelő járulékok és szociális hozzájárulási adó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ED7D0D8" w14:textId="77777777" w:rsidR="00D84014" w:rsidRPr="00C22729" w:rsidRDefault="00D84014" w:rsidP="00A45D85">
            <w:pPr>
              <w:jc w:val="right"/>
            </w:pPr>
            <w:r w:rsidRPr="00C22729">
              <w:t>-419 608 Ft</w:t>
            </w:r>
          </w:p>
        </w:tc>
      </w:tr>
      <w:tr w:rsidR="00D84014" w:rsidRPr="00C22729" w14:paraId="32BD1062" w14:textId="77777777" w:rsidTr="00D84014">
        <w:trPr>
          <w:trHeight w:val="288"/>
        </w:trPr>
        <w:tc>
          <w:tcPr>
            <w:tcW w:w="6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944E0" w14:textId="77777777" w:rsidR="00D84014" w:rsidRPr="00C22729" w:rsidRDefault="00D84014" w:rsidP="00A45D85">
            <w:pPr>
              <w:rPr>
                <w:sz w:val="20"/>
              </w:rPr>
            </w:pPr>
            <w:r w:rsidRPr="00C22729">
              <w:rPr>
                <w:sz w:val="20"/>
              </w:rPr>
              <w:t xml:space="preserve"> K312 </w:t>
            </w:r>
          </w:p>
        </w:tc>
        <w:tc>
          <w:tcPr>
            <w:tcW w:w="3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4364C" w14:textId="77777777" w:rsidR="00D84014" w:rsidRPr="00C22729" w:rsidRDefault="00D84014" w:rsidP="00A45D85">
            <w:pPr>
              <w:rPr>
                <w:b/>
                <w:bCs/>
                <w:sz w:val="20"/>
                <w:u w:val="single"/>
              </w:rPr>
            </w:pPr>
            <w:r w:rsidRPr="00C22729">
              <w:rPr>
                <w:b/>
                <w:bCs/>
                <w:sz w:val="20"/>
                <w:u w:val="single"/>
              </w:rPr>
              <w:t>Üzemeltetési anyagok beszerzése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03AAD3" w14:textId="77777777" w:rsidR="00D84014" w:rsidRPr="00C22729" w:rsidRDefault="00D84014" w:rsidP="00A45D85">
            <w:pPr>
              <w:jc w:val="right"/>
            </w:pPr>
            <w:r w:rsidRPr="00C22729">
              <w:t>-244 488 Ft</w:t>
            </w:r>
          </w:p>
        </w:tc>
      </w:tr>
      <w:tr w:rsidR="00D84014" w:rsidRPr="00C22729" w14:paraId="0100F432" w14:textId="77777777" w:rsidTr="00D84014">
        <w:trPr>
          <w:trHeight w:val="288"/>
        </w:trPr>
        <w:tc>
          <w:tcPr>
            <w:tcW w:w="6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A2A4E21" w14:textId="77777777" w:rsidR="00D84014" w:rsidRPr="00C22729" w:rsidRDefault="00D84014" w:rsidP="00A45D85">
            <w:pPr>
              <w:rPr>
                <w:sz w:val="20"/>
              </w:rPr>
            </w:pPr>
            <w:r w:rsidRPr="00C22729">
              <w:rPr>
                <w:sz w:val="20"/>
              </w:rPr>
              <w:t xml:space="preserve"> K351 </w:t>
            </w:r>
          </w:p>
        </w:tc>
        <w:tc>
          <w:tcPr>
            <w:tcW w:w="333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4040940" w14:textId="77777777" w:rsidR="00D84014" w:rsidRPr="00C22729" w:rsidRDefault="00D84014" w:rsidP="00A45D85">
            <w:pPr>
              <w:rPr>
                <w:b/>
                <w:bCs/>
                <w:sz w:val="20"/>
                <w:u w:val="single"/>
              </w:rPr>
            </w:pPr>
            <w:r w:rsidRPr="00C22729">
              <w:rPr>
                <w:b/>
                <w:bCs/>
                <w:sz w:val="20"/>
                <w:u w:val="single"/>
              </w:rPr>
              <w:t>Működési célú előzetesen felszámított általános forgalmi adó</w:t>
            </w:r>
          </w:p>
        </w:tc>
        <w:tc>
          <w:tcPr>
            <w:tcW w:w="10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E3BE1C" w14:textId="77777777" w:rsidR="00D84014" w:rsidRPr="00C22729" w:rsidRDefault="00D84014" w:rsidP="00A45D85">
            <w:pPr>
              <w:jc w:val="right"/>
            </w:pPr>
            <w:r w:rsidRPr="00C22729">
              <w:t>195 484 Ft</w:t>
            </w:r>
          </w:p>
        </w:tc>
      </w:tr>
      <w:tr w:rsidR="00D84014" w:rsidRPr="00C22729" w14:paraId="1DFD9F7A" w14:textId="77777777" w:rsidTr="00D84014">
        <w:trPr>
          <w:trHeight w:val="288"/>
        </w:trPr>
        <w:tc>
          <w:tcPr>
            <w:tcW w:w="66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CA4C23C" w14:textId="77777777" w:rsidR="00D84014" w:rsidRPr="00C22729" w:rsidRDefault="00D84014" w:rsidP="00A45D85">
            <w:pPr>
              <w:rPr>
                <w:sz w:val="20"/>
              </w:rPr>
            </w:pPr>
            <w:r w:rsidRPr="00C22729">
              <w:rPr>
                <w:sz w:val="20"/>
              </w:rPr>
              <w:t xml:space="preserve"> K64 </w:t>
            </w:r>
          </w:p>
        </w:tc>
        <w:tc>
          <w:tcPr>
            <w:tcW w:w="33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7BC47BE" w14:textId="77777777" w:rsidR="00D84014" w:rsidRPr="00C22729" w:rsidRDefault="00D84014" w:rsidP="00A45D85">
            <w:pPr>
              <w:rPr>
                <w:b/>
                <w:bCs/>
                <w:sz w:val="20"/>
                <w:u w:val="single"/>
              </w:rPr>
            </w:pPr>
            <w:r w:rsidRPr="00C22729">
              <w:rPr>
                <w:b/>
                <w:bCs/>
                <w:sz w:val="20"/>
                <w:u w:val="single"/>
              </w:rPr>
              <w:t>Egyéb tárgyi eszközök beszerzése, létesítése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194876" w14:textId="77777777" w:rsidR="00D84014" w:rsidRPr="00C22729" w:rsidRDefault="00D84014" w:rsidP="00A45D85">
            <w:pPr>
              <w:jc w:val="right"/>
            </w:pPr>
            <w:r w:rsidRPr="00C22729">
              <w:t>1 574 888 Ft</w:t>
            </w:r>
          </w:p>
        </w:tc>
      </w:tr>
      <w:tr w:rsidR="00D84014" w:rsidRPr="00C22729" w14:paraId="2328E6C0" w14:textId="77777777" w:rsidTr="00D84014">
        <w:trPr>
          <w:trHeight w:val="300"/>
        </w:trPr>
        <w:tc>
          <w:tcPr>
            <w:tcW w:w="66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5DBBF2C" w14:textId="77777777" w:rsidR="00D84014" w:rsidRPr="00C22729" w:rsidRDefault="00D84014" w:rsidP="00A45D85">
            <w:pPr>
              <w:rPr>
                <w:sz w:val="20"/>
              </w:rPr>
            </w:pPr>
            <w:r w:rsidRPr="00C22729">
              <w:rPr>
                <w:sz w:val="20"/>
              </w:rPr>
              <w:t xml:space="preserve"> K67 </w:t>
            </w:r>
          </w:p>
        </w:tc>
        <w:tc>
          <w:tcPr>
            <w:tcW w:w="33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A41C922" w14:textId="77777777" w:rsidR="00D84014" w:rsidRPr="00C22729" w:rsidRDefault="00D84014" w:rsidP="00A45D85">
            <w:pPr>
              <w:rPr>
                <w:b/>
                <w:bCs/>
                <w:sz w:val="20"/>
                <w:u w:val="single"/>
              </w:rPr>
            </w:pPr>
            <w:r w:rsidRPr="00C22729">
              <w:rPr>
                <w:b/>
                <w:bCs/>
                <w:sz w:val="20"/>
                <w:u w:val="single"/>
              </w:rPr>
              <w:t>Beruházási célú előzetesen felszámított általános forgalmi adó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CE0880" w14:textId="77777777" w:rsidR="00D84014" w:rsidRPr="00C22729" w:rsidRDefault="00D84014" w:rsidP="00A45D85">
            <w:pPr>
              <w:jc w:val="right"/>
            </w:pPr>
            <w:r w:rsidRPr="00C22729">
              <w:t>425 220 Ft</w:t>
            </w:r>
          </w:p>
        </w:tc>
      </w:tr>
      <w:tr w:rsidR="00D84014" w:rsidRPr="00C22729" w14:paraId="5B6AB75D" w14:textId="77777777" w:rsidTr="00D84014">
        <w:trPr>
          <w:trHeight w:val="300"/>
        </w:trPr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3291BD4" w14:textId="77777777" w:rsidR="00D84014" w:rsidRPr="00C22729" w:rsidRDefault="00D84014" w:rsidP="00D84014">
            <w:pPr>
              <w:rPr>
                <w:sz w:val="20"/>
              </w:rPr>
            </w:pPr>
            <w:r w:rsidRPr="00C22729">
              <w:rPr>
                <w:sz w:val="20"/>
              </w:rPr>
              <w:t> </w:t>
            </w:r>
          </w:p>
        </w:tc>
        <w:tc>
          <w:tcPr>
            <w:tcW w:w="33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B1D8A2E" w14:textId="6D88EA40" w:rsidR="00D84014" w:rsidRPr="00C22729" w:rsidRDefault="00D84014" w:rsidP="00D84014">
            <w:pPr>
              <w:ind w:left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Kiadás összesen:</w:t>
            </w:r>
          </w:p>
        </w:tc>
        <w:tc>
          <w:tcPr>
            <w:tcW w:w="10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074ACB6D" w14:textId="700E1464" w:rsidR="00D84014" w:rsidRPr="00D84014" w:rsidRDefault="00D84014" w:rsidP="00D84014">
            <w:pPr>
              <w:ind w:left="1145" w:hanging="360"/>
              <w:jc w:val="right"/>
              <w:rPr>
                <w:b/>
                <w:bCs/>
              </w:rPr>
            </w:pPr>
            <w:r w:rsidRPr="00D84014">
              <w:rPr>
                <w:b/>
                <w:bCs/>
              </w:rPr>
              <w:t>0 Ft</w:t>
            </w:r>
          </w:p>
        </w:tc>
      </w:tr>
    </w:tbl>
    <w:p w14:paraId="27581F2D" w14:textId="77777777" w:rsidR="00D84014" w:rsidRPr="00D84014" w:rsidRDefault="00D84014" w:rsidP="00D84014"/>
    <w:p w14:paraId="09F928E9" w14:textId="77777777" w:rsidR="00D84014" w:rsidRDefault="00D84014" w:rsidP="00D84014">
      <w:pPr>
        <w:pStyle w:val="Listaszerbekezds"/>
        <w:numPr>
          <w:ilvl w:val="0"/>
          <w:numId w:val="0"/>
        </w:numPr>
        <w:overflowPunct/>
        <w:autoSpaceDE/>
        <w:autoSpaceDN/>
        <w:adjustRightInd/>
        <w:spacing w:before="0" w:after="0"/>
        <w:ind w:left="425"/>
        <w:textAlignment w:val="auto"/>
        <w:rPr>
          <w:rFonts w:cs="Times New Roman"/>
          <w:szCs w:val="24"/>
        </w:rPr>
      </w:pPr>
      <w:r>
        <w:t>A 2. döntés azért volt szükséges, mert a</w:t>
      </w:r>
      <w:r>
        <w:rPr>
          <w:rFonts w:cs="Times New Roman"/>
          <w:szCs w:val="24"/>
        </w:rPr>
        <w:t>z idei évben az előző évektől eltérően több devizás tétel merült fel, melyek teljesítéséből árfolyamveszteség is keletkezett. Erre eredetileg nem terveztünk előirányzatot, ezért azt pótoltam az alábbiak szerint:</w:t>
      </w:r>
    </w:p>
    <w:p w14:paraId="6DEB3729" w14:textId="77777777" w:rsidR="00EA2D35" w:rsidRPr="00EA2D35" w:rsidRDefault="00EA2D35" w:rsidP="00EA2D35"/>
    <w:p w14:paraId="24D3E4E8" w14:textId="71109D13" w:rsidR="00D84014" w:rsidRPr="00D84014" w:rsidRDefault="00D84014" w:rsidP="00D84014">
      <w:pPr>
        <w:pStyle w:val="Listaszerbekezds"/>
        <w:numPr>
          <w:ilvl w:val="0"/>
          <w:numId w:val="0"/>
        </w:numPr>
        <w:overflowPunct/>
        <w:autoSpaceDE/>
        <w:autoSpaceDN/>
        <w:adjustRightInd/>
        <w:spacing w:before="0" w:after="360"/>
        <w:ind w:left="426"/>
        <w:textAlignment w:val="auto"/>
        <w:rPr>
          <w:rFonts w:cs="Times New Roman"/>
          <w:szCs w:val="24"/>
        </w:rPr>
      </w:pPr>
      <w:r w:rsidRPr="00D84014">
        <w:rPr>
          <w:rFonts w:cs="Times New Roman"/>
          <w:color w:val="000000"/>
          <w:szCs w:val="24"/>
        </w:rPr>
        <w:t>Az Önkormányzat költségvetésében a Forgatási és befektetési célú finanszírozási műveletek (900060-Köt) kormányzati funkción az Egyéb pénzügyi műveletek kiadásai (K354) kiadási előirányzatát 10.000 Ft-tal megnövel</w:t>
      </w:r>
      <w:r w:rsidR="00C5504D">
        <w:rPr>
          <w:rFonts w:cs="Times New Roman"/>
          <w:color w:val="000000"/>
          <w:szCs w:val="24"/>
        </w:rPr>
        <w:t>t</w:t>
      </w:r>
      <w:r w:rsidRPr="00D84014">
        <w:rPr>
          <w:rFonts w:cs="Times New Roman"/>
          <w:color w:val="000000"/>
          <w:szCs w:val="24"/>
        </w:rPr>
        <w:t>em az általános tartalék azonos összegű csökkentése mellett.</w:t>
      </w:r>
    </w:p>
    <w:p w14:paraId="6DF5D23F" w14:textId="24169FD4" w:rsidR="00831EDA" w:rsidRDefault="005359E0" w:rsidP="00831EDA">
      <w:pPr>
        <w:ind w:left="0" w:firstLine="426"/>
      </w:pPr>
      <w:r w:rsidRPr="006A495C">
        <w:t>Tiszavasvári, 202</w:t>
      </w:r>
      <w:r w:rsidR="009D66BA">
        <w:t>5</w:t>
      </w:r>
      <w:r w:rsidR="006C1AE6">
        <w:t xml:space="preserve">. </w:t>
      </w:r>
      <w:r w:rsidR="00EA2D35">
        <w:t>október</w:t>
      </w:r>
      <w:r w:rsidR="003E1162">
        <w:t xml:space="preserve"> </w:t>
      </w:r>
      <w:r w:rsidR="00EA2D35">
        <w:t>22</w:t>
      </w:r>
      <w:r w:rsidR="00C96707">
        <w:t>.</w:t>
      </w:r>
    </w:p>
    <w:p w14:paraId="3357AD8F" w14:textId="77777777" w:rsidR="00151A1A" w:rsidRDefault="00151A1A" w:rsidP="00831EDA">
      <w:pPr>
        <w:ind w:left="0" w:firstLine="426"/>
      </w:pPr>
    </w:p>
    <w:p w14:paraId="007E1606" w14:textId="60E92CA2" w:rsidR="005359E0" w:rsidRPr="006A495C" w:rsidRDefault="00831EDA" w:rsidP="00831EDA">
      <w:pPr>
        <w:tabs>
          <w:tab w:val="center" w:pos="6804"/>
        </w:tabs>
        <w:ind w:left="0" w:firstLine="426"/>
        <w:rPr>
          <w:b/>
        </w:rPr>
      </w:pPr>
      <w:r>
        <w:rPr>
          <w:b/>
        </w:rPr>
        <w:tab/>
      </w:r>
      <w:r w:rsidR="00B07625">
        <w:rPr>
          <w:b/>
        </w:rPr>
        <w:t>Balázsi Csilla</w:t>
      </w:r>
    </w:p>
    <w:p w14:paraId="02D5432E" w14:textId="73B7F29D" w:rsidR="008E52F4" w:rsidRDefault="00831EDA" w:rsidP="00C96707">
      <w:pPr>
        <w:tabs>
          <w:tab w:val="center" w:pos="6804"/>
        </w:tabs>
        <w:rPr>
          <w:b/>
        </w:rPr>
      </w:pPr>
      <w:r>
        <w:rPr>
          <w:b/>
        </w:rPr>
        <w:tab/>
      </w:r>
      <w:r w:rsidR="005359E0" w:rsidRPr="006A495C">
        <w:rPr>
          <w:b/>
        </w:rPr>
        <w:t>polgármeste</w:t>
      </w:r>
      <w:r w:rsidR="00B07625">
        <w:rPr>
          <w:b/>
        </w:rPr>
        <w:t>r</w:t>
      </w:r>
    </w:p>
    <w:p w14:paraId="72E371C2" w14:textId="77777777" w:rsidR="008E52F4" w:rsidRDefault="008E52F4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  <w:r>
        <w:rPr>
          <w:b/>
        </w:rPr>
        <w:br w:type="page"/>
      </w:r>
    </w:p>
    <w:p w14:paraId="7DB90611" w14:textId="5284713D" w:rsidR="008E52F4" w:rsidRDefault="008E52F4" w:rsidP="008E52F4">
      <w:pPr>
        <w:pStyle w:val="Szvegtrzs"/>
        <w:spacing w:before="240" w:after="480"/>
        <w:jc w:val="center"/>
        <w:rPr>
          <w:b/>
          <w:bCs/>
          <w:szCs w:val="24"/>
        </w:rPr>
      </w:pPr>
      <w:r>
        <w:rPr>
          <w:b/>
          <w:bCs/>
          <w:szCs w:val="24"/>
        </w:rPr>
        <w:lastRenderedPageBreak/>
        <w:t>Rendelettervezet</w:t>
      </w:r>
    </w:p>
    <w:p w14:paraId="653AFBD3" w14:textId="77777777" w:rsidR="008727B6" w:rsidRDefault="008727B6" w:rsidP="008727B6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Tiszavasvári Város Önkormányzata Képviselő-testületének .../2025. (X. 30.) önkormányzati rendelete</w:t>
      </w:r>
    </w:p>
    <w:p w14:paraId="22DBB9C7" w14:textId="77777777" w:rsidR="008727B6" w:rsidRDefault="008727B6" w:rsidP="008727B6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Tiszavasvári Város Önkormányzata 2025. évi költségvetéséről szóló 2/2025.(II.21.) önkormányzati rendeletének módosításáról</w:t>
      </w:r>
    </w:p>
    <w:p w14:paraId="6272BEE3" w14:textId="77777777" w:rsidR="008727B6" w:rsidRDefault="008727B6" w:rsidP="008727B6">
      <w:pPr>
        <w:pStyle w:val="Szvegtrzs"/>
      </w:pPr>
      <w:r>
        <w:t>[1] A költségvetés módosításának célja, a szükséges előirányzatmódosítások átvezetése a költségvetési rendeleten;</w:t>
      </w:r>
    </w:p>
    <w:p w14:paraId="67120220" w14:textId="77777777" w:rsidR="008727B6" w:rsidRDefault="008727B6" w:rsidP="008727B6">
      <w:pPr>
        <w:pStyle w:val="Szvegtrzs"/>
        <w:spacing w:before="120"/>
      </w:pPr>
      <w:r>
        <w:t>[2] a helyi önkormányzatok és szerveik, a köztársasági megbízottak, valamint egyes centrális alárendeltségű szervek feladat-és hatásköreiről szóló 1991. évi XX. törvény 138. § (1) bekezdés b) pontjában kapott felhatalmazás alapján;</w:t>
      </w:r>
    </w:p>
    <w:p w14:paraId="38E86289" w14:textId="77777777" w:rsidR="008727B6" w:rsidRDefault="008727B6" w:rsidP="008727B6">
      <w:pPr>
        <w:pStyle w:val="Szvegtrzs"/>
        <w:spacing w:before="120"/>
      </w:pPr>
      <w:r>
        <w:t>[3] az Alaptörvény 32. cikk (1) bekezdés a) pontjában meghatározott feladatkörében eljárva;</w:t>
      </w:r>
    </w:p>
    <w:p w14:paraId="4619049A" w14:textId="77777777" w:rsidR="008727B6" w:rsidRDefault="008727B6" w:rsidP="008727B6">
      <w:pPr>
        <w:pStyle w:val="Szvegtrzs"/>
        <w:spacing w:before="120"/>
      </w:pPr>
      <w:r>
        <w:t>[4] a Magyarország helyi önkormányzatairól szóló 2011. évi CLXXXIX. törvény 120. § (1) bekezdés a) pontjában, valamint Tiszavasvári Város Önkormányzata Képviselő-testülete szervezeti és működési szabályzatáról szóló rendelet megalkotásáról szóló 5/2025. (IV.1.)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5/2025. (IV.1.) önkormányzati rendelet 3. melléklet 2.1 pontjában biztosított véleményezési jogkörében illetékes Szociális és Humán Bizottság véleményének kikérésével a következőket rendeli el:</w:t>
      </w:r>
    </w:p>
    <w:p w14:paraId="48D251D3" w14:textId="77777777" w:rsidR="008727B6" w:rsidRDefault="008727B6" w:rsidP="008727B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14:paraId="4799E93D" w14:textId="77777777" w:rsidR="008727B6" w:rsidRDefault="008727B6" w:rsidP="008727B6">
      <w:pPr>
        <w:pStyle w:val="Szvegtrzs"/>
      </w:pPr>
      <w:r>
        <w:t>(1) Az önkormányzat 2025. évi költségvetéséről szóló 2/2025. (II. 21.) önkormányzati rendelet 2. § (1) bekezdés a) és b) pontja helyébe a következő rendelkezések lépnek:</w:t>
      </w:r>
    </w:p>
    <w:p w14:paraId="76959DFA" w14:textId="77777777" w:rsidR="008727B6" w:rsidRDefault="008727B6" w:rsidP="008727B6">
      <w:pPr>
        <w:pStyle w:val="Szvegtrzs"/>
        <w:spacing w:before="240"/>
        <w:rPr>
          <w:i/>
          <w:iCs/>
        </w:rPr>
      </w:pPr>
      <w:r>
        <w:rPr>
          <w:i/>
          <w:iCs/>
        </w:rPr>
        <w:t>(A képviselő-testület az önkormányzat 2025. évi költségvetését:)</w:t>
      </w:r>
    </w:p>
    <w:p w14:paraId="64DA7156" w14:textId="77777777" w:rsidR="008727B6" w:rsidRDefault="008727B6" w:rsidP="008727B6">
      <w:pPr>
        <w:pStyle w:val="Szvegtrzs"/>
        <w:ind w:left="580" w:hanging="560"/>
      </w:pPr>
      <w:r>
        <w:t>„</w:t>
      </w:r>
      <w:r>
        <w:rPr>
          <w:i/>
          <w:iCs/>
        </w:rPr>
        <w:t>a)</w:t>
      </w:r>
      <w:r>
        <w:tab/>
        <w:t>6.314.559.213 Ft költségvetési bevétellel</w:t>
      </w:r>
    </w:p>
    <w:p w14:paraId="2B3AD147" w14:textId="77777777" w:rsidR="008727B6" w:rsidRDefault="008727B6" w:rsidP="008727B6">
      <w:pPr>
        <w:pStyle w:val="Szvegtrzs"/>
        <w:spacing w:after="240"/>
        <w:ind w:left="580" w:hanging="560"/>
      </w:pPr>
      <w:r>
        <w:rPr>
          <w:i/>
          <w:iCs/>
        </w:rPr>
        <w:t>b)</w:t>
      </w:r>
      <w:r>
        <w:tab/>
        <w:t>7.025.889.545 Ft költségvetési kiadással”</w:t>
      </w:r>
    </w:p>
    <w:p w14:paraId="0A7B4CE4" w14:textId="77777777" w:rsidR="008727B6" w:rsidRDefault="008727B6" w:rsidP="008727B6">
      <w:pPr>
        <w:pStyle w:val="Szvegtrzs"/>
        <w:spacing w:before="240"/>
      </w:pPr>
      <w:r>
        <w:t>(2) Az önkormányzat 2025. évi költségvetéséről szóló 2/2025. (II. 21.) önkormányzati rendelet 2. § (1) bekezdés c) pont ca) és cb) alpontja helyébe a következő rendelkezések lépnek:</w:t>
      </w:r>
    </w:p>
    <w:p w14:paraId="37416DDE" w14:textId="77777777" w:rsidR="008727B6" w:rsidRDefault="008727B6" w:rsidP="008727B6">
      <w:pPr>
        <w:pStyle w:val="Szvegtrzs"/>
        <w:spacing w:before="240"/>
        <w:rPr>
          <w:i/>
          <w:iCs/>
        </w:rPr>
      </w:pPr>
      <w:r>
        <w:rPr>
          <w:i/>
          <w:iCs/>
        </w:rPr>
        <w:t>(A képviselő-testület az önkormányzat 2025.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711.330.332 Ft költségvetési hiánnyal, ebből:)</w:t>
      </w:r>
    </w:p>
    <w:p w14:paraId="6420A979" w14:textId="77777777" w:rsidR="008727B6" w:rsidRDefault="008727B6" w:rsidP="008727B6">
      <w:pPr>
        <w:pStyle w:val="Szvegtrzs"/>
        <w:ind w:left="980" w:hanging="400"/>
      </w:pPr>
      <w:r>
        <w:t>„</w:t>
      </w:r>
      <w:r>
        <w:rPr>
          <w:i/>
          <w:iCs/>
        </w:rPr>
        <w:t>ca)</w:t>
      </w:r>
      <w:r>
        <w:tab/>
        <w:t>37.160.245 Ft működési többlettel</w:t>
      </w:r>
    </w:p>
    <w:p w14:paraId="54128044" w14:textId="77777777" w:rsidR="008727B6" w:rsidRDefault="008727B6" w:rsidP="008727B6">
      <w:pPr>
        <w:pStyle w:val="Szvegtrzs"/>
        <w:spacing w:after="240"/>
        <w:ind w:left="980" w:hanging="400"/>
      </w:pPr>
      <w:r>
        <w:rPr>
          <w:i/>
          <w:iCs/>
        </w:rPr>
        <w:t>cb)</w:t>
      </w:r>
      <w:r>
        <w:tab/>
        <w:t>748.790.577 Ft felhalmozási hiánnyal”</w:t>
      </w:r>
    </w:p>
    <w:p w14:paraId="64CF8D76" w14:textId="77777777" w:rsidR="008727B6" w:rsidRDefault="008727B6" w:rsidP="008727B6">
      <w:pPr>
        <w:pStyle w:val="Szvegtrzs"/>
        <w:spacing w:before="240"/>
      </w:pPr>
      <w:r>
        <w:t>(3) Az önkormányzat 2025. évi költségvetéséről szóló 2/2025. (II. 21.) önkormányzati rendelet 2. § (1) bekezdés d) és e) pontja helyébe a következő rendelkezések lépnek:</w:t>
      </w:r>
    </w:p>
    <w:p w14:paraId="0972E321" w14:textId="77777777" w:rsidR="008727B6" w:rsidRDefault="008727B6" w:rsidP="008727B6">
      <w:pPr>
        <w:pStyle w:val="Szvegtrzs"/>
        <w:spacing w:before="240"/>
        <w:rPr>
          <w:i/>
          <w:iCs/>
        </w:rPr>
      </w:pPr>
      <w:r>
        <w:rPr>
          <w:i/>
          <w:iCs/>
        </w:rPr>
        <w:t>(A képviselő-testület az önkormányzat 2025. évi költségvetését:)</w:t>
      </w:r>
    </w:p>
    <w:p w14:paraId="178014C0" w14:textId="77777777" w:rsidR="008727B6" w:rsidRDefault="008727B6" w:rsidP="008727B6">
      <w:pPr>
        <w:pStyle w:val="Szvegtrzs"/>
        <w:ind w:left="580" w:hanging="560"/>
      </w:pPr>
      <w:r>
        <w:t>„</w:t>
      </w:r>
      <w:r>
        <w:rPr>
          <w:i/>
          <w:iCs/>
        </w:rPr>
        <w:t>d)</w:t>
      </w:r>
      <w:r>
        <w:tab/>
        <w:t>1.750.406.101 Ft finanszírozási bevétellel</w:t>
      </w:r>
    </w:p>
    <w:p w14:paraId="27A8C03A" w14:textId="77777777" w:rsidR="008727B6" w:rsidRDefault="008727B6" w:rsidP="008727B6">
      <w:pPr>
        <w:pStyle w:val="Szvegtrzs"/>
        <w:spacing w:after="240"/>
        <w:ind w:left="580" w:hanging="560"/>
      </w:pPr>
      <w:r>
        <w:rPr>
          <w:i/>
          <w:iCs/>
        </w:rPr>
        <w:t>e)</w:t>
      </w:r>
      <w:r>
        <w:tab/>
        <w:t>1.039.075.769 Ft finanszírozási kiadással”</w:t>
      </w:r>
    </w:p>
    <w:p w14:paraId="0FE32693" w14:textId="77777777" w:rsidR="008727B6" w:rsidRDefault="008727B6" w:rsidP="008727B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14:paraId="184B7D0B" w14:textId="77777777" w:rsidR="008727B6" w:rsidRDefault="008727B6" w:rsidP="008727B6">
      <w:pPr>
        <w:pStyle w:val="Szvegtrzs"/>
      </w:pPr>
      <w:r>
        <w:lastRenderedPageBreak/>
        <w:t>Az önkormányzat 2025. évi költségvetéséről szóló 2/2025. (II. 21.) önkormányzati rendelet 3. § (2) bekezdése helyébe a következő rendelkezés lép:</w:t>
      </w:r>
    </w:p>
    <w:p w14:paraId="2308C5D8" w14:textId="77777777" w:rsidR="008727B6" w:rsidRDefault="008727B6" w:rsidP="008727B6">
      <w:pPr>
        <w:pStyle w:val="Szvegtrzs"/>
        <w:spacing w:before="240" w:after="240"/>
      </w:pPr>
      <w:r>
        <w:t>„(2) Az önkormányzat a kiadások között 2.742.793 Ft általános, 99.462.329 Ft céltartalékot állapít meg, melyeket részletesen a 35. melléklet tartalmaz.”</w:t>
      </w:r>
    </w:p>
    <w:p w14:paraId="229AC7D0" w14:textId="77777777" w:rsidR="008727B6" w:rsidRDefault="008727B6" w:rsidP="008727B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3. §</w:t>
      </w:r>
    </w:p>
    <w:p w14:paraId="26F02FF6" w14:textId="77777777" w:rsidR="008727B6" w:rsidRDefault="008727B6" w:rsidP="008727B6">
      <w:pPr>
        <w:pStyle w:val="Szvegtrzs"/>
      </w:pPr>
      <w:r>
        <w:t>(1) Az önkormányzat 2025. évi költségvetéséről szóló 2/2025. (II. 21.) önkormányzati rendelet 1. melléklete helyébe az 1. melléklet lép.</w:t>
      </w:r>
    </w:p>
    <w:p w14:paraId="676CA916" w14:textId="77777777" w:rsidR="008727B6" w:rsidRDefault="008727B6" w:rsidP="008727B6">
      <w:pPr>
        <w:pStyle w:val="Szvegtrzs"/>
        <w:spacing w:before="240"/>
      </w:pPr>
      <w:r>
        <w:t>(2) Az önkormányzat 2025. évi költségvetéséről szóló 2/2025. (II. 21.) önkormányzati rendelet 2. melléklete helyébe a 2. melléklet lép.</w:t>
      </w:r>
    </w:p>
    <w:p w14:paraId="4E9F9E16" w14:textId="77777777" w:rsidR="008727B6" w:rsidRDefault="008727B6" w:rsidP="008727B6">
      <w:pPr>
        <w:pStyle w:val="Szvegtrzs"/>
        <w:spacing w:before="240"/>
      </w:pPr>
      <w:r>
        <w:t>(3) Az önkormányzat 2025. évi költségvetéséről szóló 2/2025. (II. 21.) önkormányzati rendelet 3. melléklete helyébe a 3. melléklet lép.</w:t>
      </w:r>
    </w:p>
    <w:p w14:paraId="5C809DD0" w14:textId="77777777" w:rsidR="008727B6" w:rsidRDefault="008727B6" w:rsidP="008727B6">
      <w:pPr>
        <w:pStyle w:val="Szvegtrzs"/>
        <w:spacing w:before="240"/>
      </w:pPr>
      <w:r>
        <w:t>(4) Az önkormányzat 2025. évi költségvetéséről szóló 2/2025. (II. 21.) önkormányzati rendelet 6. melléklete helyébe a 4. melléklet lép.</w:t>
      </w:r>
    </w:p>
    <w:p w14:paraId="4D331D03" w14:textId="77777777" w:rsidR="008727B6" w:rsidRDefault="008727B6" w:rsidP="008727B6">
      <w:pPr>
        <w:pStyle w:val="Szvegtrzs"/>
        <w:spacing w:before="240"/>
      </w:pPr>
      <w:r>
        <w:t>(5) Az önkormányzat 2025. évi költségvetéséről szóló 2/2025. (II. 21.) önkormányzati rendelet 7. melléklete helyébe az 5. melléklet lép.</w:t>
      </w:r>
    </w:p>
    <w:p w14:paraId="3CECDDDF" w14:textId="77777777" w:rsidR="008727B6" w:rsidRDefault="008727B6" w:rsidP="008727B6">
      <w:pPr>
        <w:pStyle w:val="Szvegtrzs"/>
        <w:spacing w:before="240"/>
      </w:pPr>
      <w:r>
        <w:t>(6) Az önkormányzat 2025. évi költségvetéséről szóló 2/2025. (II. 21.) önkormányzati rendelet 11. melléklete helyébe a 6. melléklet lép.</w:t>
      </w:r>
    </w:p>
    <w:p w14:paraId="66088F6C" w14:textId="77777777" w:rsidR="008727B6" w:rsidRDefault="008727B6" w:rsidP="008727B6">
      <w:pPr>
        <w:pStyle w:val="Szvegtrzs"/>
        <w:spacing w:before="240"/>
      </w:pPr>
      <w:r>
        <w:t>(7) Az önkormányzat 2025. évi költségvetéséről szóló 2/2025. (II. 21.) önkormányzati rendelet 12. melléklete helyébe a 7. melléklet lép.</w:t>
      </w:r>
    </w:p>
    <w:p w14:paraId="71731326" w14:textId="77777777" w:rsidR="008727B6" w:rsidRDefault="008727B6" w:rsidP="008727B6">
      <w:pPr>
        <w:pStyle w:val="Szvegtrzs"/>
        <w:spacing w:before="240"/>
      </w:pPr>
      <w:r>
        <w:t>(8) Az önkormányzat 2025. évi költségvetéséről szóló 2/2025. (II. 21.) önkormányzati rendelet 13. melléklete helyébe a 8. melléklet lép.</w:t>
      </w:r>
    </w:p>
    <w:p w14:paraId="66B28EBD" w14:textId="77777777" w:rsidR="008727B6" w:rsidRDefault="008727B6" w:rsidP="008727B6">
      <w:pPr>
        <w:pStyle w:val="Szvegtrzs"/>
        <w:spacing w:before="240"/>
      </w:pPr>
      <w:r>
        <w:t>(9) Az önkormányzat 2025. évi költségvetéséről szóló 2/2025. (II. 21.) önkormányzati rendelet 14. melléklete helyébe a 9. melléklet lép.</w:t>
      </w:r>
    </w:p>
    <w:p w14:paraId="6B1AE543" w14:textId="77777777" w:rsidR="008727B6" w:rsidRDefault="008727B6" w:rsidP="008727B6">
      <w:pPr>
        <w:pStyle w:val="Szvegtrzs"/>
        <w:spacing w:before="240"/>
      </w:pPr>
      <w:r>
        <w:t>(10) Az önkormányzat 2025. évi költségvetéséről szóló 2/2025. (II. 21.) önkormányzati rendelet 15. melléklete helyébe a 10. melléklet lép.</w:t>
      </w:r>
    </w:p>
    <w:p w14:paraId="01DA3E2B" w14:textId="77777777" w:rsidR="008727B6" w:rsidRDefault="008727B6" w:rsidP="008727B6">
      <w:pPr>
        <w:pStyle w:val="Szvegtrzs"/>
        <w:spacing w:before="240"/>
      </w:pPr>
      <w:r>
        <w:t>(11) Az önkormányzat 2025. évi költségvetéséről szóló 2/2025. (II. 21.) önkormányzati rendelet 16. melléklete helyébe a 11. melléklet lép.</w:t>
      </w:r>
    </w:p>
    <w:p w14:paraId="2C8FB0CB" w14:textId="77777777" w:rsidR="008727B6" w:rsidRDefault="008727B6" w:rsidP="008727B6">
      <w:pPr>
        <w:pStyle w:val="Szvegtrzs"/>
        <w:spacing w:before="240"/>
      </w:pPr>
      <w:r>
        <w:t>(12) Az önkormányzat 2025. évi költségvetéséről szóló 2/2025. (II. 21.) önkormányzati rendelet 21. melléklete helyébe a 12. melléklet lép.</w:t>
      </w:r>
    </w:p>
    <w:p w14:paraId="1F7E25EE" w14:textId="77777777" w:rsidR="008727B6" w:rsidRDefault="008727B6" w:rsidP="008727B6">
      <w:pPr>
        <w:pStyle w:val="Szvegtrzs"/>
        <w:spacing w:before="240"/>
      </w:pPr>
      <w:r>
        <w:t>(13) Az önkormányzat 2025. évi költségvetéséről szóló 2/2025. (II. 21.) önkormányzati rendelet 22. melléklete helyébe a 13. melléklet lép.</w:t>
      </w:r>
    </w:p>
    <w:p w14:paraId="4581DF32" w14:textId="77777777" w:rsidR="008727B6" w:rsidRDefault="008727B6" w:rsidP="008727B6">
      <w:pPr>
        <w:pStyle w:val="Szvegtrzs"/>
        <w:spacing w:before="240"/>
      </w:pPr>
      <w:r>
        <w:t>(14) Az önkormányzat 2025. évi költségvetéséről szóló 2/2025. (II. 21.) önkormányzati rendelet 24. melléklete helyébe a 14. melléklet lép.</w:t>
      </w:r>
    </w:p>
    <w:p w14:paraId="225C62CC" w14:textId="77777777" w:rsidR="008727B6" w:rsidRDefault="008727B6" w:rsidP="008727B6">
      <w:pPr>
        <w:pStyle w:val="Szvegtrzs"/>
        <w:spacing w:before="240"/>
      </w:pPr>
      <w:r>
        <w:t>(15) Az önkormányzat 2025. évi költségvetéséről szóló 2/2025. (II. 21.) önkormányzati rendelet 25. melléklete helyébe a 15. melléklet lép.</w:t>
      </w:r>
    </w:p>
    <w:p w14:paraId="4D46F996" w14:textId="77777777" w:rsidR="008727B6" w:rsidRDefault="008727B6" w:rsidP="008727B6">
      <w:pPr>
        <w:pStyle w:val="Szvegtrzs"/>
        <w:spacing w:before="240"/>
      </w:pPr>
      <w:r>
        <w:lastRenderedPageBreak/>
        <w:t>(16) Az önkormányzat 2025. évi költségvetéséről szóló 2/2025. (II. 21.) önkormányzati rendelet 34. melléklete helyébe a 16. melléklet lép.</w:t>
      </w:r>
    </w:p>
    <w:p w14:paraId="36E1C24A" w14:textId="77777777" w:rsidR="008727B6" w:rsidRDefault="008727B6" w:rsidP="008727B6">
      <w:pPr>
        <w:pStyle w:val="Szvegtrzs"/>
        <w:spacing w:before="240"/>
      </w:pPr>
      <w:r>
        <w:t>(17) Az önkormányzat 2025. évi költségvetéséről szóló 2/2025. (II. 21.) önkormányzati rendelet 35. melléklete helyébe a 17. melléklet lép.</w:t>
      </w:r>
    </w:p>
    <w:p w14:paraId="0DE75FB6" w14:textId="77777777" w:rsidR="008727B6" w:rsidRDefault="008727B6" w:rsidP="008727B6">
      <w:pPr>
        <w:pStyle w:val="Szvegtrzs"/>
        <w:spacing w:before="240"/>
      </w:pPr>
      <w:r>
        <w:t>(18) Az önkormányzat 2025. évi költségvetéséről szóló 2/2025. (II. 21.) önkormányzati rendelet 36. melléklete helyébe a 18. melléklet lép.</w:t>
      </w:r>
    </w:p>
    <w:p w14:paraId="004F7FE5" w14:textId="77777777" w:rsidR="008727B6" w:rsidRDefault="008727B6" w:rsidP="008727B6">
      <w:pPr>
        <w:pStyle w:val="Szvegtrzs"/>
        <w:spacing w:before="240"/>
      </w:pPr>
      <w:r>
        <w:t>(19) Az önkormányzat 2025. évi költségvetéséről szóló 2/2025. (II. 21.) önkormányzati rendelet 39. melléklete helyébe a 19. melléklet lép.</w:t>
      </w:r>
    </w:p>
    <w:p w14:paraId="04EA1F34" w14:textId="77777777" w:rsidR="008727B6" w:rsidRDefault="008727B6" w:rsidP="008727B6">
      <w:pPr>
        <w:pStyle w:val="Szvegtrzs"/>
        <w:spacing w:before="240"/>
      </w:pPr>
      <w:r>
        <w:t>(20) Az önkormányzat 2025. évi költségvetéséről szóló 2/2025. (II. 21.) önkormányzati rendelet 40. melléklete helyébe a 20. melléklet lép.</w:t>
      </w:r>
    </w:p>
    <w:p w14:paraId="24BBCB69" w14:textId="77777777" w:rsidR="008727B6" w:rsidRDefault="008727B6" w:rsidP="008727B6">
      <w:pPr>
        <w:pStyle w:val="Szvegtrzs"/>
        <w:spacing w:before="240"/>
      </w:pPr>
      <w:r>
        <w:t>(21) Az önkormányzat 2025. évi költségvetéséről szóló 2/2025. (II. 21.) önkormányzati rendelet 42. melléklete helyébe a 21. melléklet lép.</w:t>
      </w:r>
    </w:p>
    <w:p w14:paraId="537741DD" w14:textId="77777777" w:rsidR="008727B6" w:rsidRDefault="008727B6" w:rsidP="008727B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4. §</w:t>
      </w:r>
    </w:p>
    <w:p w14:paraId="08CA2916" w14:textId="19BDC047" w:rsidR="008E52F4" w:rsidRDefault="008727B6" w:rsidP="008727B6">
      <w:pPr>
        <w:pStyle w:val="Szvegtrzs"/>
      </w:pPr>
      <w:r>
        <w:t>Ez a rendelet 2025. október 31-én lép hatályba.</w:t>
      </w:r>
    </w:p>
    <w:p w14:paraId="76FAFAF1" w14:textId="77777777" w:rsidR="008727B6" w:rsidRDefault="008727B6" w:rsidP="008727B6">
      <w:pPr>
        <w:pStyle w:val="Szvegtrzs"/>
      </w:pPr>
    </w:p>
    <w:p w14:paraId="4E96DB7A" w14:textId="5DA49FCC" w:rsidR="008E52F4" w:rsidRDefault="008E52F4" w:rsidP="008E52F4">
      <w:pPr>
        <w:pStyle w:val="Szvegtrzs"/>
      </w:pPr>
      <w:r>
        <w:t xml:space="preserve">Tiszavasvári, 2025. </w:t>
      </w:r>
      <w:r w:rsidR="008727B6">
        <w:t>október 29</w:t>
      </w:r>
      <w:r>
        <w:t>.</w:t>
      </w:r>
    </w:p>
    <w:p w14:paraId="0C6EB0CA" w14:textId="77777777" w:rsidR="008E52F4" w:rsidRPr="00273FED" w:rsidRDefault="008E52F4" w:rsidP="008E52F4"/>
    <w:p w14:paraId="0D80E437" w14:textId="77777777" w:rsidR="008E52F4" w:rsidRPr="00273FED" w:rsidRDefault="008E52F4" w:rsidP="008E52F4"/>
    <w:p w14:paraId="24BFD99D" w14:textId="77777777" w:rsidR="008E52F4" w:rsidRPr="00273FED" w:rsidRDefault="008E52F4" w:rsidP="008E52F4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Balázsi Csilla</w:t>
      </w: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6F0C2862" w14:textId="77777777" w:rsidR="008E52F4" w:rsidRPr="00273FED" w:rsidRDefault="008E52F4" w:rsidP="008E52F4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r w:rsidRPr="00273FED">
        <w:rPr>
          <w:b/>
          <w:bCs/>
        </w:rPr>
        <w:t>polgármester</w:t>
      </w:r>
      <w:r w:rsidRPr="00273FED">
        <w:rPr>
          <w:b/>
        </w:rPr>
        <w:tab/>
        <w:t>jegyző</w:t>
      </w:r>
    </w:p>
    <w:p w14:paraId="40763B53" w14:textId="77777777" w:rsidR="008E52F4" w:rsidRPr="00273FED" w:rsidRDefault="008E52F4" w:rsidP="008E52F4">
      <w:pPr>
        <w:tabs>
          <w:tab w:val="center" w:pos="2268"/>
          <w:tab w:val="center" w:pos="6804"/>
        </w:tabs>
        <w:rPr>
          <w:b/>
        </w:rPr>
      </w:pPr>
    </w:p>
    <w:p w14:paraId="12CEC595" w14:textId="77777777" w:rsidR="008E52F4" w:rsidRPr="00273FED" w:rsidRDefault="008E52F4" w:rsidP="008E52F4">
      <w:pPr>
        <w:tabs>
          <w:tab w:val="center" w:pos="2268"/>
          <w:tab w:val="center" w:pos="6804"/>
        </w:tabs>
        <w:rPr>
          <w:b/>
        </w:rPr>
      </w:pPr>
    </w:p>
    <w:p w14:paraId="217EA439" w14:textId="12BD42B5" w:rsidR="008E52F4" w:rsidRPr="000B3C15" w:rsidRDefault="008E52F4" w:rsidP="008E52F4">
      <w:pPr>
        <w:pStyle w:val="Szvegtrzs"/>
      </w:pPr>
      <w:r w:rsidRPr="00273FED">
        <w:rPr>
          <w:b/>
        </w:rPr>
        <w:t xml:space="preserve"> Kihirdetve: </w:t>
      </w:r>
      <w:r>
        <w:t xml:space="preserve">2025. </w:t>
      </w:r>
      <w:r w:rsidR="008727B6">
        <w:t>október 30.</w:t>
      </w:r>
    </w:p>
    <w:p w14:paraId="126ECFF0" w14:textId="77777777" w:rsidR="008E52F4" w:rsidRPr="00273FED" w:rsidRDefault="008E52F4" w:rsidP="008E52F4">
      <w:pPr>
        <w:tabs>
          <w:tab w:val="center" w:pos="2268"/>
          <w:tab w:val="center" w:pos="6804"/>
        </w:tabs>
        <w:rPr>
          <w:b/>
        </w:rPr>
      </w:pPr>
    </w:p>
    <w:p w14:paraId="402BEAA0" w14:textId="77777777" w:rsidR="008E52F4" w:rsidRPr="00273FED" w:rsidRDefault="008E52F4" w:rsidP="008E52F4">
      <w:pPr>
        <w:tabs>
          <w:tab w:val="center" w:pos="2268"/>
          <w:tab w:val="center" w:pos="6804"/>
        </w:tabs>
        <w:rPr>
          <w:b/>
        </w:rPr>
      </w:pPr>
      <w:r w:rsidRPr="00273FED">
        <w:rPr>
          <w:b/>
        </w:rPr>
        <w:tab/>
      </w:r>
    </w:p>
    <w:p w14:paraId="6FD4DE0E" w14:textId="77777777" w:rsidR="008E52F4" w:rsidRPr="00273FED" w:rsidRDefault="008E52F4" w:rsidP="008E52F4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5457A86F" w14:textId="77777777" w:rsidR="008E52F4" w:rsidRPr="00273FED" w:rsidRDefault="008E52F4" w:rsidP="008E52F4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jegyző</w:t>
      </w:r>
    </w:p>
    <w:p w14:paraId="41E59326" w14:textId="77777777" w:rsidR="008E52F4" w:rsidRDefault="008E52F4" w:rsidP="008E52F4">
      <w:pPr>
        <w:pStyle w:val="Szvegtrzs"/>
      </w:pPr>
      <w:r>
        <w:br w:type="page"/>
      </w:r>
    </w:p>
    <w:p w14:paraId="1F4AF711" w14:textId="77777777" w:rsidR="008E52F4" w:rsidRDefault="008E52F4" w:rsidP="008E52F4">
      <w:pPr>
        <w:pStyle w:val="Szvegtrzs"/>
        <w:jc w:val="center"/>
      </w:pPr>
    </w:p>
    <w:p w14:paraId="19F50DFC" w14:textId="77777777" w:rsidR="008E52F4" w:rsidRDefault="008E52F4" w:rsidP="008E52F4">
      <w:pPr>
        <w:pStyle w:val="Szvegtrzs"/>
        <w:spacing w:after="159"/>
        <w:ind w:left="159" w:right="159"/>
        <w:jc w:val="center"/>
      </w:pPr>
      <w:r>
        <w:rPr>
          <w:szCs w:val="24"/>
        </w:rPr>
        <w:t>Általános indokolás</w:t>
      </w:r>
    </w:p>
    <w:p w14:paraId="692648F9" w14:textId="77777777" w:rsidR="008E52F4" w:rsidRDefault="008E52F4" w:rsidP="008E52F4">
      <w:pPr>
        <w:pStyle w:val="Szvegtrzs"/>
        <w:spacing w:before="159" w:after="159"/>
        <w:ind w:left="0" w:right="159"/>
      </w:pPr>
      <w:r>
        <w:rPr>
          <w:szCs w:val="24"/>
        </w:rPr>
        <w:t>Az államháztartásról szóló 2011. évi CXCV. törvény 34. § (1)-(5) bekezdésében foglaltak szerint, a helyi önkormányzat költségvetési rendeletét módosíthatja.</w:t>
      </w:r>
    </w:p>
    <w:p w14:paraId="7CCA5CC8" w14:textId="77777777" w:rsidR="008E52F4" w:rsidRDefault="008E52F4" w:rsidP="008E52F4">
      <w:pPr>
        <w:pStyle w:val="Szvegtrzs"/>
        <w:spacing w:before="476" w:after="159"/>
        <w:ind w:left="159" w:right="159"/>
        <w:jc w:val="center"/>
      </w:pPr>
      <w:r>
        <w:rPr>
          <w:szCs w:val="24"/>
        </w:rPr>
        <w:t>Részletes indokolás</w:t>
      </w:r>
    </w:p>
    <w:p w14:paraId="7A566D2C" w14:textId="77777777" w:rsidR="008E52F4" w:rsidRDefault="008E52F4" w:rsidP="008E52F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Az 1. §-hoz </w:t>
      </w:r>
    </w:p>
    <w:p w14:paraId="60A72F63" w14:textId="77777777" w:rsidR="008E52F4" w:rsidRDefault="008E52F4" w:rsidP="008E52F4">
      <w:pPr>
        <w:pStyle w:val="Szvegtrzs"/>
      </w:pPr>
      <w:r>
        <w:rPr>
          <w:szCs w:val="24"/>
        </w:rPr>
        <w:t>A költségvetési rendelet módosításával a költségvetési és finanszírozási bevételi, kiadási főösszegek és a hiány összegei e rendelet szerinti módosult összegeit mutatja be.</w:t>
      </w:r>
    </w:p>
    <w:p w14:paraId="08D1D34B" w14:textId="77777777" w:rsidR="008E52F4" w:rsidRDefault="008E52F4" w:rsidP="008E52F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 2. §-hoz </w:t>
      </w:r>
    </w:p>
    <w:p w14:paraId="74A38E0E" w14:textId="77777777" w:rsidR="008E52F4" w:rsidRDefault="008E52F4" w:rsidP="008E52F4">
      <w:pPr>
        <w:pStyle w:val="Szvegtrzs"/>
        <w:spacing w:before="159" w:after="159"/>
        <w:ind w:left="0" w:right="159"/>
      </w:pPr>
      <w:r>
        <w:rPr>
          <w:szCs w:val="24"/>
        </w:rPr>
        <w:t>A módosítások után meglévő tartalékok állományáról ad tájékoztatást.</w:t>
      </w:r>
    </w:p>
    <w:p w14:paraId="418D9690" w14:textId="77777777" w:rsidR="008E52F4" w:rsidRDefault="008E52F4" w:rsidP="008E52F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 3. §-hoz </w:t>
      </w:r>
    </w:p>
    <w:p w14:paraId="6FD5E64E" w14:textId="77777777" w:rsidR="008E52F4" w:rsidRDefault="008E52F4" w:rsidP="008E52F4">
      <w:pPr>
        <w:pStyle w:val="Szvegtrzs"/>
      </w:pPr>
      <w:r>
        <w:rPr>
          <w:szCs w:val="24"/>
        </w:rPr>
        <w:t>A költségvetési rendeleten belül a módosuló mellékleteket mutatja be.</w:t>
      </w:r>
    </w:p>
    <w:p w14:paraId="7BF12FED" w14:textId="77777777" w:rsidR="008E52F4" w:rsidRDefault="008E52F4" w:rsidP="008E52F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 4. §-hoz </w:t>
      </w:r>
    </w:p>
    <w:p w14:paraId="6EC87F05" w14:textId="77777777" w:rsidR="008E52F4" w:rsidRDefault="008E52F4" w:rsidP="008E52F4">
      <w:pPr>
        <w:pStyle w:val="Szvegtrzs"/>
        <w:spacing w:before="159" w:after="159"/>
        <w:ind w:left="0" w:right="159"/>
      </w:pPr>
      <w:r>
        <w:rPr>
          <w:szCs w:val="24"/>
        </w:rPr>
        <w:t>A rendelet hatálybalépéséről rendelkezik.</w:t>
      </w:r>
    </w:p>
    <w:p w14:paraId="4B0AADBC" w14:textId="77777777" w:rsidR="00EA048B" w:rsidRDefault="00EA048B" w:rsidP="00C96707">
      <w:pPr>
        <w:tabs>
          <w:tab w:val="center" w:pos="6804"/>
        </w:tabs>
        <w:rPr>
          <w:b/>
        </w:rPr>
      </w:pPr>
    </w:p>
    <w:sectPr w:rsidR="00EA048B" w:rsidSect="001F185E"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B5B1B" w14:textId="77777777" w:rsidR="00294703" w:rsidRDefault="00294703" w:rsidP="00D745C1">
      <w:r>
        <w:separator/>
      </w:r>
    </w:p>
  </w:endnote>
  <w:endnote w:type="continuationSeparator" w:id="0">
    <w:p w14:paraId="4A3127A0" w14:textId="77777777" w:rsidR="00294703" w:rsidRDefault="00294703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57890" w14:textId="77777777" w:rsidR="00294703" w:rsidRDefault="00294703" w:rsidP="00D745C1">
      <w:r>
        <w:separator/>
      </w:r>
    </w:p>
  </w:footnote>
  <w:footnote w:type="continuationSeparator" w:id="0">
    <w:p w14:paraId="1256EFD4" w14:textId="77777777" w:rsidR="00294703" w:rsidRDefault="00294703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93A95"/>
    <w:multiLevelType w:val="hybridMultilevel"/>
    <w:tmpl w:val="3850A952"/>
    <w:lvl w:ilvl="0" w:tplc="A4F28420">
      <w:start w:val="1"/>
      <w:numFmt w:val="decimal"/>
      <w:pStyle w:val="Listaszerbekezds"/>
      <w:lvlText w:val="%1."/>
      <w:lvlJc w:val="left"/>
      <w:pPr>
        <w:ind w:left="1145" w:hanging="360"/>
      </w:pPr>
    </w:lvl>
    <w:lvl w:ilvl="1" w:tplc="040E0019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2BC6112D"/>
    <w:multiLevelType w:val="hybridMultilevel"/>
    <w:tmpl w:val="9B441AF6"/>
    <w:lvl w:ilvl="0" w:tplc="096E0DFA"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DBE068E"/>
    <w:multiLevelType w:val="hybridMultilevel"/>
    <w:tmpl w:val="AB241AE2"/>
    <w:lvl w:ilvl="0" w:tplc="ADDECA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81F07EE"/>
    <w:multiLevelType w:val="hybridMultilevel"/>
    <w:tmpl w:val="C2280E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93DF6"/>
    <w:multiLevelType w:val="hybridMultilevel"/>
    <w:tmpl w:val="E0F0D3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C3918"/>
    <w:multiLevelType w:val="hybridMultilevel"/>
    <w:tmpl w:val="C2280E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994832">
    <w:abstractNumId w:val="0"/>
  </w:num>
  <w:num w:numId="2" w16cid:durableId="759642018">
    <w:abstractNumId w:val="0"/>
  </w:num>
  <w:num w:numId="3" w16cid:durableId="704136593">
    <w:abstractNumId w:val="0"/>
    <w:lvlOverride w:ilvl="0">
      <w:startOverride w:val="1"/>
    </w:lvlOverride>
  </w:num>
  <w:num w:numId="4" w16cid:durableId="524757822">
    <w:abstractNumId w:val="0"/>
    <w:lvlOverride w:ilvl="0">
      <w:startOverride w:val="1"/>
    </w:lvlOverride>
  </w:num>
  <w:num w:numId="5" w16cid:durableId="1279406933">
    <w:abstractNumId w:val="4"/>
  </w:num>
  <w:num w:numId="6" w16cid:durableId="68038870">
    <w:abstractNumId w:val="0"/>
    <w:lvlOverride w:ilvl="0">
      <w:startOverride w:val="1"/>
    </w:lvlOverride>
  </w:num>
  <w:num w:numId="7" w16cid:durableId="7564080">
    <w:abstractNumId w:val="0"/>
    <w:lvlOverride w:ilvl="0">
      <w:startOverride w:val="1"/>
    </w:lvlOverride>
  </w:num>
  <w:num w:numId="8" w16cid:durableId="171800575">
    <w:abstractNumId w:val="2"/>
  </w:num>
  <w:num w:numId="9" w16cid:durableId="215894888">
    <w:abstractNumId w:val="0"/>
    <w:lvlOverride w:ilvl="0">
      <w:startOverride w:val="1"/>
    </w:lvlOverride>
  </w:num>
  <w:num w:numId="10" w16cid:durableId="149172540">
    <w:abstractNumId w:val="5"/>
  </w:num>
  <w:num w:numId="11" w16cid:durableId="1031222401">
    <w:abstractNumId w:val="3"/>
  </w:num>
  <w:num w:numId="12" w16cid:durableId="441807999">
    <w:abstractNumId w:val="1"/>
  </w:num>
  <w:num w:numId="13" w16cid:durableId="1448086045">
    <w:abstractNumId w:val="0"/>
    <w:lvlOverride w:ilvl="0">
      <w:startOverride w:val="1"/>
    </w:lvlOverride>
  </w:num>
  <w:num w:numId="14" w16cid:durableId="1441610669">
    <w:abstractNumId w:val="0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D4"/>
    <w:rsid w:val="000012AC"/>
    <w:rsid w:val="00002173"/>
    <w:rsid w:val="00002DF8"/>
    <w:rsid w:val="00003F72"/>
    <w:rsid w:val="00003FA3"/>
    <w:rsid w:val="00004BCC"/>
    <w:rsid w:val="00005003"/>
    <w:rsid w:val="000056F5"/>
    <w:rsid w:val="00005C78"/>
    <w:rsid w:val="00006089"/>
    <w:rsid w:val="0000629D"/>
    <w:rsid w:val="00006356"/>
    <w:rsid w:val="00006582"/>
    <w:rsid w:val="000075D9"/>
    <w:rsid w:val="0000763E"/>
    <w:rsid w:val="0000784F"/>
    <w:rsid w:val="00007CCC"/>
    <w:rsid w:val="00007D63"/>
    <w:rsid w:val="00007F2F"/>
    <w:rsid w:val="00010136"/>
    <w:rsid w:val="00010528"/>
    <w:rsid w:val="000105D2"/>
    <w:rsid w:val="00010888"/>
    <w:rsid w:val="00010983"/>
    <w:rsid w:val="00010BA1"/>
    <w:rsid w:val="00010BE2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060"/>
    <w:rsid w:val="000141E9"/>
    <w:rsid w:val="00014E67"/>
    <w:rsid w:val="00014F62"/>
    <w:rsid w:val="00015017"/>
    <w:rsid w:val="0001566A"/>
    <w:rsid w:val="00015755"/>
    <w:rsid w:val="0001595A"/>
    <w:rsid w:val="00016061"/>
    <w:rsid w:val="000161DC"/>
    <w:rsid w:val="000164DE"/>
    <w:rsid w:val="00016562"/>
    <w:rsid w:val="0001706F"/>
    <w:rsid w:val="00020A62"/>
    <w:rsid w:val="000214A8"/>
    <w:rsid w:val="00021B4C"/>
    <w:rsid w:val="00021EBF"/>
    <w:rsid w:val="000221FC"/>
    <w:rsid w:val="00022496"/>
    <w:rsid w:val="00022DF2"/>
    <w:rsid w:val="00023159"/>
    <w:rsid w:val="00023878"/>
    <w:rsid w:val="00023D32"/>
    <w:rsid w:val="00023D55"/>
    <w:rsid w:val="0002488D"/>
    <w:rsid w:val="00025673"/>
    <w:rsid w:val="00025674"/>
    <w:rsid w:val="00025822"/>
    <w:rsid w:val="000260CC"/>
    <w:rsid w:val="00026F37"/>
    <w:rsid w:val="0002710E"/>
    <w:rsid w:val="0002759D"/>
    <w:rsid w:val="000277E4"/>
    <w:rsid w:val="00027BC7"/>
    <w:rsid w:val="00030221"/>
    <w:rsid w:val="000303DE"/>
    <w:rsid w:val="00030E6D"/>
    <w:rsid w:val="0003106B"/>
    <w:rsid w:val="000312F1"/>
    <w:rsid w:val="0003163F"/>
    <w:rsid w:val="0003262D"/>
    <w:rsid w:val="00032825"/>
    <w:rsid w:val="00033079"/>
    <w:rsid w:val="00033399"/>
    <w:rsid w:val="000333D5"/>
    <w:rsid w:val="000337ED"/>
    <w:rsid w:val="00033912"/>
    <w:rsid w:val="000344BF"/>
    <w:rsid w:val="000345E8"/>
    <w:rsid w:val="00034B02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0FC4"/>
    <w:rsid w:val="00041B5F"/>
    <w:rsid w:val="00042242"/>
    <w:rsid w:val="000428AC"/>
    <w:rsid w:val="0004294A"/>
    <w:rsid w:val="00042BA0"/>
    <w:rsid w:val="00042E4D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47DF1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570C"/>
    <w:rsid w:val="000562C3"/>
    <w:rsid w:val="0005637A"/>
    <w:rsid w:val="0005689E"/>
    <w:rsid w:val="00056993"/>
    <w:rsid w:val="00056A54"/>
    <w:rsid w:val="00056E5F"/>
    <w:rsid w:val="0005776A"/>
    <w:rsid w:val="00057866"/>
    <w:rsid w:val="00057886"/>
    <w:rsid w:val="000600BF"/>
    <w:rsid w:val="0006126E"/>
    <w:rsid w:val="000615E1"/>
    <w:rsid w:val="00061792"/>
    <w:rsid w:val="00062690"/>
    <w:rsid w:val="00062BE7"/>
    <w:rsid w:val="000637E7"/>
    <w:rsid w:val="00064019"/>
    <w:rsid w:val="000648CA"/>
    <w:rsid w:val="00064B9C"/>
    <w:rsid w:val="00064C2F"/>
    <w:rsid w:val="00064F08"/>
    <w:rsid w:val="00065322"/>
    <w:rsid w:val="000656A0"/>
    <w:rsid w:val="00065B1C"/>
    <w:rsid w:val="00066564"/>
    <w:rsid w:val="000668A0"/>
    <w:rsid w:val="00066BDB"/>
    <w:rsid w:val="000673C7"/>
    <w:rsid w:val="00067592"/>
    <w:rsid w:val="00067AA2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0DAF"/>
    <w:rsid w:val="00081474"/>
    <w:rsid w:val="00081B9B"/>
    <w:rsid w:val="00081F6A"/>
    <w:rsid w:val="000821D7"/>
    <w:rsid w:val="00082EB6"/>
    <w:rsid w:val="00082FE4"/>
    <w:rsid w:val="0008394A"/>
    <w:rsid w:val="00084476"/>
    <w:rsid w:val="0008463C"/>
    <w:rsid w:val="0008549F"/>
    <w:rsid w:val="00085900"/>
    <w:rsid w:val="000859BE"/>
    <w:rsid w:val="00086C50"/>
    <w:rsid w:val="000875B9"/>
    <w:rsid w:val="0008781A"/>
    <w:rsid w:val="00087875"/>
    <w:rsid w:val="00087F6A"/>
    <w:rsid w:val="00090470"/>
    <w:rsid w:val="00090AE5"/>
    <w:rsid w:val="0009118F"/>
    <w:rsid w:val="00091294"/>
    <w:rsid w:val="000912D5"/>
    <w:rsid w:val="00091BD9"/>
    <w:rsid w:val="0009206E"/>
    <w:rsid w:val="0009256B"/>
    <w:rsid w:val="00092DB3"/>
    <w:rsid w:val="000933DC"/>
    <w:rsid w:val="00093857"/>
    <w:rsid w:val="00094685"/>
    <w:rsid w:val="000946FD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4FA"/>
    <w:rsid w:val="000A3AD6"/>
    <w:rsid w:val="000A3F04"/>
    <w:rsid w:val="000A3F70"/>
    <w:rsid w:val="000A4EE8"/>
    <w:rsid w:val="000A5244"/>
    <w:rsid w:val="000A56AE"/>
    <w:rsid w:val="000A5D6E"/>
    <w:rsid w:val="000A6028"/>
    <w:rsid w:val="000A6456"/>
    <w:rsid w:val="000A65FF"/>
    <w:rsid w:val="000A6772"/>
    <w:rsid w:val="000A75A5"/>
    <w:rsid w:val="000A7B05"/>
    <w:rsid w:val="000A7C4C"/>
    <w:rsid w:val="000B0751"/>
    <w:rsid w:val="000B090E"/>
    <w:rsid w:val="000B10F6"/>
    <w:rsid w:val="000B1D58"/>
    <w:rsid w:val="000B2051"/>
    <w:rsid w:val="000B2786"/>
    <w:rsid w:val="000B3057"/>
    <w:rsid w:val="000B314C"/>
    <w:rsid w:val="000B32F0"/>
    <w:rsid w:val="000B3F57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36E"/>
    <w:rsid w:val="000C24FB"/>
    <w:rsid w:val="000C28AA"/>
    <w:rsid w:val="000C2901"/>
    <w:rsid w:val="000C2CDF"/>
    <w:rsid w:val="000C3188"/>
    <w:rsid w:val="000C32AC"/>
    <w:rsid w:val="000C3A56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81"/>
    <w:rsid w:val="000D03D6"/>
    <w:rsid w:val="000D0856"/>
    <w:rsid w:val="000D0B3A"/>
    <w:rsid w:val="000D0BF5"/>
    <w:rsid w:val="000D0FB3"/>
    <w:rsid w:val="000D12F1"/>
    <w:rsid w:val="000D1347"/>
    <w:rsid w:val="000D1949"/>
    <w:rsid w:val="000D2D54"/>
    <w:rsid w:val="000D2FC7"/>
    <w:rsid w:val="000D375C"/>
    <w:rsid w:val="000D3A65"/>
    <w:rsid w:val="000D3B23"/>
    <w:rsid w:val="000D3D51"/>
    <w:rsid w:val="000D3E47"/>
    <w:rsid w:val="000D54BE"/>
    <w:rsid w:val="000D5B06"/>
    <w:rsid w:val="000D608D"/>
    <w:rsid w:val="000D6C77"/>
    <w:rsid w:val="000D7A5C"/>
    <w:rsid w:val="000E0046"/>
    <w:rsid w:val="000E0049"/>
    <w:rsid w:val="000E0893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6A64"/>
    <w:rsid w:val="000E73C8"/>
    <w:rsid w:val="000F0828"/>
    <w:rsid w:val="000F08B6"/>
    <w:rsid w:val="000F21AD"/>
    <w:rsid w:val="000F263E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4E66"/>
    <w:rsid w:val="000F552E"/>
    <w:rsid w:val="000F5668"/>
    <w:rsid w:val="000F56AC"/>
    <w:rsid w:val="000F5AA5"/>
    <w:rsid w:val="000F5CBB"/>
    <w:rsid w:val="000F614A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68"/>
    <w:rsid w:val="00102199"/>
    <w:rsid w:val="00102286"/>
    <w:rsid w:val="001025BE"/>
    <w:rsid w:val="00102D16"/>
    <w:rsid w:val="00102FF0"/>
    <w:rsid w:val="00103436"/>
    <w:rsid w:val="00103C60"/>
    <w:rsid w:val="001049C4"/>
    <w:rsid w:val="00105481"/>
    <w:rsid w:val="00105D6E"/>
    <w:rsid w:val="00105DE2"/>
    <w:rsid w:val="00106293"/>
    <w:rsid w:val="00106786"/>
    <w:rsid w:val="00106BF4"/>
    <w:rsid w:val="00106DB3"/>
    <w:rsid w:val="00107804"/>
    <w:rsid w:val="001100EA"/>
    <w:rsid w:val="00111579"/>
    <w:rsid w:val="001116F3"/>
    <w:rsid w:val="00112174"/>
    <w:rsid w:val="001121BA"/>
    <w:rsid w:val="0011242C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4A9"/>
    <w:rsid w:val="00115A8C"/>
    <w:rsid w:val="00115D82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247"/>
    <w:rsid w:val="00131C76"/>
    <w:rsid w:val="0013201F"/>
    <w:rsid w:val="00132322"/>
    <w:rsid w:val="00132EE9"/>
    <w:rsid w:val="00132F08"/>
    <w:rsid w:val="00132F28"/>
    <w:rsid w:val="0013327A"/>
    <w:rsid w:val="001339D3"/>
    <w:rsid w:val="00134CB9"/>
    <w:rsid w:val="00135865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500"/>
    <w:rsid w:val="0014179E"/>
    <w:rsid w:val="001417BD"/>
    <w:rsid w:val="00141D27"/>
    <w:rsid w:val="001423A1"/>
    <w:rsid w:val="001425A9"/>
    <w:rsid w:val="00142DD1"/>
    <w:rsid w:val="00143558"/>
    <w:rsid w:val="00143B01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505C1"/>
    <w:rsid w:val="00150714"/>
    <w:rsid w:val="00150739"/>
    <w:rsid w:val="001510D0"/>
    <w:rsid w:val="0015180F"/>
    <w:rsid w:val="00151A1A"/>
    <w:rsid w:val="00151ECD"/>
    <w:rsid w:val="001521FB"/>
    <w:rsid w:val="001524DB"/>
    <w:rsid w:val="001526B9"/>
    <w:rsid w:val="001528FB"/>
    <w:rsid w:val="00152D0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2C4"/>
    <w:rsid w:val="001624F6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5F1"/>
    <w:rsid w:val="001658DB"/>
    <w:rsid w:val="00166750"/>
    <w:rsid w:val="001703AC"/>
    <w:rsid w:val="001711BE"/>
    <w:rsid w:val="0017123C"/>
    <w:rsid w:val="00171944"/>
    <w:rsid w:val="00171EB4"/>
    <w:rsid w:val="00172AF7"/>
    <w:rsid w:val="001735EF"/>
    <w:rsid w:val="0017375E"/>
    <w:rsid w:val="001757D5"/>
    <w:rsid w:val="0017587D"/>
    <w:rsid w:val="001761FE"/>
    <w:rsid w:val="0017667E"/>
    <w:rsid w:val="00176C12"/>
    <w:rsid w:val="00176D11"/>
    <w:rsid w:val="0017709A"/>
    <w:rsid w:val="00177348"/>
    <w:rsid w:val="00177C05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4C4"/>
    <w:rsid w:val="00185BD0"/>
    <w:rsid w:val="00186592"/>
    <w:rsid w:val="0018671F"/>
    <w:rsid w:val="00186726"/>
    <w:rsid w:val="001870F0"/>
    <w:rsid w:val="0018725E"/>
    <w:rsid w:val="00187D17"/>
    <w:rsid w:val="001901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720"/>
    <w:rsid w:val="00193920"/>
    <w:rsid w:val="001939F9"/>
    <w:rsid w:val="00193A82"/>
    <w:rsid w:val="0019430E"/>
    <w:rsid w:val="00194886"/>
    <w:rsid w:val="00194C7F"/>
    <w:rsid w:val="00194F20"/>
    <w:rsid w:val="00195742"/>
    <w:rsid w:val="00195C7A"/>
    <w:rsid w:val="001965E1"/>
    <w:rsid w:val="001968D9"/>
    <w:rsid w:val="00196FB2"/>
    <w:rsid w:val="00197103"/>
    <w:rsid w:val="00197182"/>
    <w:rsid w:val="00197248"/>
    <w:rsid w:val="00197FB3"/>
    <w:rsid w:val="001A0953"/>
    <w:rsid w:val="001A1409"/>
    <w:rsid w:val="001A1E2A"/>
    <w:rsid w:val="001A1F18"/>
    <w:rsid w:val="001A272D"/>
    <w:rsid w:val="001A2A4B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1C1A"/>
    <w:rsid w:val="001B21DE"/>
    <w:rsid w:val="001B2768"/>
    <w:rsid w:val="001B27FC"/>
    <w:rsid w:val="001B346E"/>
    <w:rsid w:val="001B3845"/>
    <w:rsid w:val="001B38B4"/>
    <w:rsid w:val="001B3A48"/>
    <w:rsid w:val="001B3C4F"/>
    <w:rsid w:val="001B4297"/>
    <w:rsid w:val="001B4370"/>
    <w:rsid w:val="001B43C6"/>
    <w:rsid w:val="001B5135"/>
    <w:rsid w:val="001B5C90"/>
    <w:rsid w:val="001B614E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389"/>
    <w:rsid w:val="001C28A8"/>
    <w:rsid w:val="001C2E95"/>
    <w:rsid w:val="001C34D4"/>
    <w:rsid w:val="001C360D"/>
    <w:rsid w:val="001C3680"/>
    <w:rsid w:val="001C3D88"/>
    <w:rsid w:val="001C414F"/>
    <w:rsid w:val="001C41CC"/>
    <w:rsid w:val="001C473F"/>
    <w:rsid w:val="001C47D7"/>
    <w:rsid w:val="001C480D"/>
    <w:rsid w:val="001C4A2F"/>
    <w:rsid w:val="001C4CBE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73F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80"/>
    <w:rsid w:val="001D1BB5"/>
    <w:rsid w:val="001D1FBC"/>
    <w:rsid w:val="001D25FA"/>
    <w:rsid w:val="001D27E3"/>
    <w:rsid w:val="001D2B22"/>
    <w:rsid w:val="001D2B39"/>
    <w:rsid w:val="001D2E01"/>
    <w:rsid w:val="001D3298"/>
    <w:rsid w:val="001D41C4"/>
    <w:rsid w:val="001D4985"/>
    <w:rsid w:val="001D4B2F"/>
    <w:rsid w:val="001D4B5D"/>
    <w:rsid w:val="001D4C52"/>
    <w:rsid w:val="001D5181"/>
    <w:rsid w:val="001D52AB"/>
    <w:rsid w:val="001D5C4A"/>
    <w:rsid w:val="001D5EB9"/>
    <w:rsid w:val="001D602D"/>
    <w:rsid w:val="001D6600"/>
    <w:rsid w:val="001D6B6F"/>
    <w:rsid w:val="001D6EBC"/>
    <w:rsid w:val="001D7295"/>
    <w:rsid w:val="001D7AD6"/>
    <w:rsid w:val="001D7F09"/>
    <w:rsid w:val="001E007C"/>
    <w:rsid w:val="001E01C1"/>
    <w:rsid w:val="001E04FF"/>
    <w:rsid w:val="001E0D93"/>
    <w:rsid w:val="001E12A7"/>
    <w:rsid w:val="001E16D5"/>
    <w:rsid w:val="001E1902"/>
    <w:rsid w:val="001E19F1"/>
    <w:rsid w:val="001E1A8C"/>
    <w:rsid w:val="001E24ED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87A"/>
    <w:rsid w:val="001E5D5C"/>
    <w:rsid w:val="001E62A4"/>
    <w:rsid w:val="001E6C20"/>
    <w:rsid w:val="001E7422"/>
    <w:rsid w:val="001E7825"/>
    <w:rsid w:val="001E7CF3"/>
    <w:rsid w:val="001F049A"/>
    <w:rsid w:val="001F071C"/>
    <w:rsid w:val="001F0B23"/>
    <w:rsid w:val="001F0CD5"/>
    <w:rsid w:val="001F0D8F"/>
    <w:rsid w:val="001F185E"/>
    <w:rsid w:val="001F23C7"/>
    <w:rsid w:val="001F2885"/>
    <w:rsid w:val="001F2EE3"/>
    <w:rsid w:val="001F36FB"/>
    <w:rsid w:val="001F3772"/>
    <w:rsid w:val="001F3AD6"/>
    <w:rsid w:val="001F4060"/>
    <w:rsid w:val="001F428A"/>
    <w:rsid w:val="001F475F"/>
    <w:rsid w:val="001F47A2"/>
    <w:rsid w:val="001F4992"/>
    <w:rsid w:val="001F4A92"/>
    <w:rsid w:val="001F4AF5"/>
    <w:rsid w:val="001F4BAB"/>
    <w:rsid w:val="001F4BE0"/>
    <w:rsid w:val="001F4CE2"/>
    <w:rsid w:val="001F4D91"/>
    <w:rsid w:val="001F570B"/>
    <w:rsid w:val="001F6534"/>
    <w:rsid w:val="001F747B"/>
    <w:rsid w:val="001F7E97"/>
    <w:rsid w:val="001F7F71"/>
    <w:rsid w:val="00200989"/>
    <w:rsid w:val="00200E08"/>
    <w:rsid w:val="0020110D"/>
    <w:rsid w:val="00201433"/>
    <w:rsid w:val="002023C5"/>
    <w:rsid w:val="00202573"/>
    <w:rsid w:val="00202F7F"/>
    <w:rsid w:val="002036FB"/>
    <w:rsid w:val="0020391A"/>
    <w:rsid w:val="0020400B"/>
    <w:rsid w:val="00204477"/>
    <w:rsid w:val="00204E8B"/>
    <w:rsid w:val="00205030"/>
    <w:rsid w:val="0020504F"/>
    <w:rsid w:val="0020532E"/>
    <w:rsid w:val="002066DE"/>
    <w:rsid w:val="00206749"/>
    <w:rsid w:val="002069B6"/>
    <w:rsid w:val="00210512"/>
    <w:rsid w:val="00210AA3"/>
    <w:rsid w:val="00210ABB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8BB"/>
    <w:rsid w:val="00224B4C"/>
    <w:rsid w:val="0022566B"/>
    <w:rsid w:val="002256CE"/>
    <w:rsid w:val="002257F6"/>
    <w:rsid w:val="00226359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38C6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212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32D"/>
    <w:rsid w:val="00242777"/>
    <w:rsid w:val="00243518"/>
    <w:rsid w:val="0024379F"/>
    <w:rsid w:val="00243DC0"/>
    <w:rsid w:val="00244A97"/>
    <w:rsid w:val="00244AE1"/>
    <w:rsid w:val="002450DC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6CD"/>
    <w:rsid w:val="00250BE0"/>
    <w:rsid w:val="00250EF2"/>
    <w:rsid w:val="00250FCA"/>
    <w:rsid w:val="00251574"/>
    <w:rsid w:val="002528D4"/>
    <w:rsid w:val="00255127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02B"/>
    <w:rsid w:val="002614A1"/>
    <w:rsid w:val="0026213A"/>
    <w:rsid w:val="00262275"/>
    <w:rsid w:val="002623C0"/>
    <w:rsid w:val="00262570"/>
    <w:rsid w:val="002625E5"/>
    <w:rsid w:val="00262833"/>
    <w:rsid w:val="00262E4A"/>
    <w:rsid w:val="0026352F"/>
    <w:rsid w:val="002638BB"/>
    <w:rsid w:val="002639D6"/>
    <w:rsid w:val="00264BE2"/>
    <w:rsid w:val="002656AF"/>
    <w:rsid w:val="00265F06"/>
    <w:rsid w:val="0026624C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193"/>
    <w:rsid w:val="00273719"/>
    <w:rsid w:val="002739B4"/>
    <w:rsid w:val="002742AA"/>
    <w:rsid w:val="002744A8"/>
    <w:rsid w:val="00274FA5"/>
    <w:rsid w:val="002750A9"/>
    <w:rsid w:val="00275765"/>
    <w:rsid w:val="00275947"/>
    <w:rsid w:val="0027629B"/>
    <w:rsid w:val="00276A2C"/>
    <w:rsid w:val="00276C4C"/>
    <w:rsid w:val="00277660"/>
    <w:rsid w:val="00277922"/>
    <w:rsid w:val="00277B84"/>
    <w:rsid w:val="00280817"/>
    <w:rsid w:val="00280906"/>
    <w:rsid w:val="00281518"/>
    <w:rsid w:val="00281945"/>
    <w:rsid w:val="002819D2"/>
    <w:rsid w:val="002829E6"/>
    <w:rsid w:val="00282B6D"/>
    <w:rsid w:val="0028353F"/>
    <w:rsid w:val="002839A3"/>
    <w:rsid w:val="00285967"/>
    <w:rsid w:val="00285DFB"/>
    <w:rsid w:val="002861B8"/>
    <w:rsid w:val="002864CA"/>
    <w:rsid w:val="002864CC"/>
    <w:rsid w:val="002871F9"/>
    <w:rsid w:val="00287371"/>
    <w:rsid w:val="00287501"/>
    <w:rsid w:val="00287B9E"/>
    <w:rsid w:val="00287EC9"/>
    <w:rsid w:val="002900B9"/>
    <w:rsid w:val="002904AF"/>
    <w:rsid w:val="00290779"/>
    <w:rsid w:val="002909C5"/>
    <w:rsid w:val="00291B09"/>
    <w:rsid w:val="00292E79"/>
    <w:rsid w:val="00293209"/>
    <w:rsid w:val="002932A4"/>
    <w:rsid w:val="002933F1"/>
    <w:rsid w:val="0029395E"/>
    <w:rsid w:val="00293F30"/>
    <w:rsid w:val="0029445C"/>
    <w:rsid w:val="00294703"/>
    <w:rsid w:val="00294880"/>
    <w:rsid w:val="00294AD7"/>
    <w:rsid w:val="002959F0"/>
    <w:rsid w:val="00295C55"/>
    <w:rsid w:val="00295F79"/>
    <w:rsid w:val="00296029"/>
    <w:rsid w:val="00296830"/>
    <w:rsid w:val="00296AD7"/>
    <w:rsid w:val="002A0090"/>
    <w:rsid w:val="002A00A2"/>
    <w:rsid w:val="002A04BB"/>
    <w:rsid w:val="002A08D9"/>
    <w:rsid w:val="002A1AFD"/>
    <w:rsid w:val="002A2484"/>
    <w:rsid w:val="002A279F"/>
    <w:rsid w:val="002A2A29"/>
    <w:rsid w:val="002A2FA3"/>
    <w:rsid w:val="002A32D8"/>
    <w:rsid w:val="002A35E3"/>
    <w:rsid w:val="002A38A8"/>
    <w:rsid w:val="002A41A4"/>
    <w:rsid w:val="002A45F6"/>
    <w:rsid w:val="002A465A"/>
    <w:rsid w:val="002A4F08"/>
    <w:rsid w:val="002A660F"/>
    <w:rsid w:val="002A68EC"/>
    <w:rsid w:val="002A7371"/>
    <w:rsid w:val="002A74D0"/>
    <w:rsid w:val="002A74E3"/>
    <w:rsid w:val="002A7909"/>
    <w:rsid w:val="002A7E24"/>
    <w:rsid w:val="002B014F"/>
    <w:rsid w:val="002B029A"/>
    <w:rsid w:val="002B09B3"/>
    <w:rsid w:val="002B14A4"/>
    <w:rsid w:val="002B2607"/>
    <w:rsid w:val="002B2CA9"/>
    <w:rsid w:val="002B2D56"/>
    <w:rsid w:val="002B2F2D"/>
    <w:rsid w:val="002B31B5"/>
    <w:rsid w:val="002B323A"/>
    <w:rsid w:val="002B3426"/>
    <w:rsid w:val="002B3FC3"/>
    <w:rsid w:val="002B4BC5"/>
    <w:rsid w:val="002B5191"/>
    <w:rsid w:val="002B53EF"/>
    <w:rsid w:val="002B5A63"/>
    <w:rsid w:val="002B5ACC"/>
    <w:rsid w:val="002B63B8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8AF"/>
    <w:rsid w:val="002C2D76"/>
    <w:rsid w:val="002C3579"/>
    <w:rsid w:val="002C3A1D"/>
    <w:rsid w:val="002C3A69"/>
    <w:rsid w:val="002C3D4F"/>
    <w:rsid w:val="002C4637"/>
    <w:rsid w:val="002C496D"/>
    <w:rsid w:val="002C4A13"/>
    <w:rsid w:val="002C4D54"/>
    <w:rsid w:val="002C4D83"/>
    <w:rsid w:val="002C58E2"/>
    <w:rsid w:val="002C59E4"/>
    <w:rsid w:val="002C5A19"/>
    <w:rsid w:val="002C5EC7"/>
    <w:rsid w:val="002C5F6B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0086"/>
    <w:rsid w:val="002D1106"/>
    <w:rsid w:val="002D1219"/>
    <w:rsid w:val="002D1B95"/>
    <w:rsid w:val="002D2628"/>
    <w:rsid w:val="002D3055"/>
    <w:rsid w:val="002D3F91"/>
    <w:rsid w:val="002D4666"/>
    <w:rsid w:val="002D4A20"/>
    <w:rsid w:val="002D4B55"/>
    <w:rsid w:val="002D4BFA"/>
    <w:rsid w:val="002D4C7E"/>
    <w:rsid w:val="002D5000"/>
    <w:rsid w:val="002D5319"/>
    <w:rsid w:val="002D5482"/>
    <w:rsid w:val="002D5545"/>
    <w:rsid w:val="002D67FA"/>
    <w:rsid w:val="002D683F"/>
    <w:rsid w:val="002D6BE4"/>
    <w:rsid w:val="002D7ABB"/>
    <w:rsid w:val="002D7AC9"/>
    <w:rsid w:val="002D7FE1"/>
    <w:rsid w:val="002E005F"/>
    <w:rsid w:val="002E0222"/>
    <w:rsid w:val="002E0A6E"/>
    <w:rsid w:val="002E0B36"/>
    <w:rsid w:val="002E0BC9"/>
    <w:rsid w:val="002E221A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09A3"/>
    <w:rsid w:val="002F1975"/>
    <w:rsid w:val="002F1D63"/>
    <w:rsid w:val="002F2998"/>
    <w:rsid w:val="002F2CD4"/>
    <w:rsid w:val="002F2E0A"/>
    <w:rsid w:val="002F3002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828"/>
    <w:rsid w:val="00303AAE"/>
    <w:rsid w:val="00304331"/>
    <w:rsid w:val="00304813"/>
    <w:rsid w:val="00304AE9"/>
    <w:rsid w:val="00304D22"/>
    <w:rsid w:val="0030517F"/>
    <w:rsid w:val="003054F5"/>
    <w:rsid w:val="00305877"/>
    <w:rsid w:val="00305E67"/>
    <w:rsid w:val="0030602E"/>
    <w:rsid w:val="0030627F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4262"/>
    <w:rsid w:val="003145D9"/>
    <w:rsid w:val="00314B0F"/>
    <w:rsid w:val="00314D0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B0D"/>
    <w:rsid w:val="00321D9B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456"/>
    <w:rsid w:val="003255E3"/>
    <w:rsid w:val="00325D2B"/>
    <w:rsid w:val="003266C4"/>
    <w:rsid w:val="003268F9"/>
    <w:rsid w:val="00326D4C"/>
    <w:rsid w:val="003272D5"/>
    <w:rsid w:val="00327802"/>
    <w:rsid w:val="00330B57"/>
    <w:rsid w:val="00331170"/>
    <w:rsid w:val="00331D9F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6D0"/>
    <w:rsid w:val="00336D15"/>
    <w:rsid w:val="00337009"/>
    <w:rsid w:val="003370E2"/>
    <w:rsid w:val="003379A4"/>
    <w:rsid w:val="00337F70"/>
    <w:rsid w:val="00340077"/>
    <w:rsid w:val="00340410"/>
    <w:rsid w:val="00340C6D"/>
    <w:rsid w:val="00341366"/>
    <w:rsid w:val="00342319"/>
    <w:rsid w:val="0034290E"/>
    <w:rsid w:val="00343850"/>
    <w:rsid w:val="00343FDC"/>
    <w:rsid w:val="00343FEF"/>
    <w:rsid w:val="00344E05"/>
    <w:rsid w:val="00345335"/>
    <w:rsid w:val="003455E2"/>
    <w:rsid w:val="003461F3"/>
    <w:rsid w:val="00346226"/>
    <w:rsid w:val="003463FC"/>
    <w:rsid w:val="00346770"/>
    <w:rsid w:val="003469C7"/>
    <w:rsid w:val="00346CED"/>
    <w:rsid w:val="00346FAF"/>
    <w:rsid w:val="00347252"/>
    <w:rsid w:val="00347520"/>
    <w:rsid w:val="003507E7"/>
    <w:rsid w:val="0035170A"/>
    <w:rsid w:val="00351817"/>
    <w:rsid w:val="00351D43"/>
    <w:rsid w:val="00352E4B"/>
    <w:rsid w:val="003531E1"/>
    <w:rsid w:val="003550CB"/>
    <w:rsid w:val="00355207"/>
    <w:rsid w:val="003555C0"/>
    <w:rsid w:val="003565F0"/>
    <w:rsid w:val="00357CC9"/>
    <w:rsid w:val="0036015B"/>
    <w:rsid w:val="00360725"/>
    <w:rsid w:val="0036093C"/>
    <w:rsid w:val="00360E06"/>
    <w:rsid w:val="0036100C"/>
    <w:rsid w:val="0036107C"/>
    <w:rsid w:val="00361838"/>
    <w:rsid w:val="003618D6"/>
    <w:rsid w:val="00361902"/>
    <w:rsid w:val="00362989"/>
    <w:rsid w:val="00362B12"/>
    <w:rsid w:val="00362CD5"/>
    <w:rsid w:val="00362D17"/>
    <w:rsid w:val="00362D87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6B96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598A"/>
    <w:rsid w:val="00375C9E"/>
    <w:rsid w:val="0037660E"/>
    <w:rsid w:val="00376A05"/>
    <w:rsid w:val="00376F2B"/>
    <w:rsid w:val="003772E2"/>
    <w:rsid w:val="0037732B"/>
    <w:rsid w:val="003773B8"/>
    <w:rsid w:val="00377BE9"/>
    <w:rsid w:val="00377EE9"/>
    <w:rsid w:val="003802A3"/>
    <w:rsid w:val="00380B83"/>
    <w:rsid w:val="003814F6"/>
    <w:rsid w:val="0038167A"/>
    <w:rsid w:val="003826E2"/>
    <w:rsid w:val="003827BB"/>
    <w:rsid w:val="003832D8"/>
    <w:rsid w:val="00383479"/>
    <w:rsid w:val="003844AE"/>
    <w:rsid w:val="00384717"/>
    <w:rsid w:val="00384CE5"/>
    <w:rsid w:val="00384E4B"/>
    <w:rsid w:val="003858AD"/>
    <w:rsid w:val="00387157"/>
    <w:rsid w:val="00387160"/>
    <w:rsid w:val="00387707"/>
    <w:rsid w:val="003906B7"/>
    <w:rsid w:val="003908B5"/>
    <w:rsid w:val="00390CA2"/>
    <w:rsid w:val="00390D07"/>
    <w:rsid w:val="00390FAD"/>
    <w:rsid w:val="00391850"/>
    <w:rsid w:val="00391925"/>
    <w:rsid w:val="00392420"/>
    <w:rsid w:val="0039242D"/>
    <w:rsid w:val="003927B7"/>
    <w:rsid w:val="0039280D"/>
    <w:rsid w:val="003928CD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5D9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134"/>
    <w:rsid w:val="003A3C51"/>
    <w:rsid w:val="003A43C5"/>
    <w:rsid w:val="003A4FFE"/>
    <w:rsid w:val="003A505D"/>
    <w:rsid w:val="003A5387"/>
    <w:rsid w:val="003A53A3"/>
    <w:rsid w:val="003A5427"/>
    <w:rsid w:val="003A56B2"/>
    <w:rsid w:val="003A5770"/>
    <w:rsid w:val="003A584B"/>
    <w:rsid w:val="003A5D37"/>
    <w:rsid w:val="003A65AF"/>
    <w:rsid w:val="003B0744"/>
    <w:rsid w:val="003B0923"/>
    <w:rsid w:val="003B12C9"/>
    <w:rsid w:val="003B1BE6"/>
    <w:rsid w:val="003B1CB5"/>
    <w:rsid w:val="003B2160"/>
    <w:rsid w:val="003B2501"/>
    <w:rsid w:val="003B281D"/>
    <w:rsid w:val="003B2A81"/>
    <w:rsid w:val="003B3319"/>
    <w:rsid w:val="003B43A9"/>
    <w:rsid w:val="003B48F5"/>
    <w:rsid w:val="003B4C5A"/>
    <w:rsid w:val="003B6425"/>
    <w:rsid w:val="003C05C2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051"/>
    <w:rsid w:val="003D1AF2"/>
    <w:rsid w:val="003D238B"/>
    <w:rsid w:val="003D2554"/>
    <w:rsid w:val="003D2823"/>
    <w:rsid w:val="003D2BB3"/>
    <w:rsid w:val="003D365C"/>
    <w:rsid w:val="003D388D"/>
    <w:rsid w:val="003D3F50"/>
    <w:rsid w:val="003D3F7B"/>
    <w:rsid w:val="003D413A"/>
    <w:rsid w:val="003D52C8"/>
    <w:rsid w:val="003D5376"/>
    <w:rsid w:val="003D6032"/>
    <w:rsid w:val="003D61E0"/>
    <w:rsid w:val="003D650E"/>
    <w:rsid w:val="003D6FBB"/>
    <w:rsid w:val="003D719F"/>
    <w:rsid w:val="003D72ED"/>
    <w:rsid w:val="003D7388"/>
    <w:rsid w:val="003D73E4"/>
    <w:rsid w:val="003D78CC"/>
    <w:rsid w:val="003D7C3B"/>
    <w:rsid w:val="003E0049"/>
    <w:rsid w:val="003E0AF7"/>
    <w:rsid w:val="003E0B00"/>
    <w:rsid w:val="003E1162"/>
    <w:rsid w:val="003E162B"/>
    <w:rsid w:val="003E19D2"/>
    <w:rsid w:val="003E19DF"/>
    <w:rsid w:val="003E1BB0"/>
    <w:rsid w:val="003E1C0C"/>
    <w:rsid w:val="003E28F5"/>
    <w:rsid w:val="003E2A1D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157"/>
    <w:rsid w:val="003E799E"/>
    <w:rsid w:val="003F0420"/>
    <w:rsid w:val="003F06D0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28D"/>
    <w:rsid w:val="003F7405"/>
    <w:rsid w:val="003F750E"/>
    <w:rsid w:val="003F7FF0"/>
    <w:rsid w:val="00400341"/>
    <w:rsid w:val="00400F23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5E0"/>
    <w:rsid w:val="00406741"/>
    <w:rsid w:val="00406A8F"/>
    <w:rsid w:val="004073DB"/>
    <w:rsid w:val="00407478"/>
    <w:rsid w:val="00407E9A"/>
    <w:rsid w:val="00407F97"/>
    <w:rsid w:val="0041009B"/>
    <w:rsid w:val="00410917"/>
    <w:rsid w:val="004109D0"/>
    <w:rsid w:val="00410A46"/>
    <w:rsid w:val="00411A57"/>
    <w:rsid w:val="00411EF3"/>
    <w:rsid w:val="00412A2E"/>
    <w:rsid w:val="00412A82"/>
    <w:rsid w:val="00412D53"/>
    <w:rsid w:val="00412F8E"/>
    <w:rsid w:val="004134B1"/>
    <w:rsid w:val="004136DB"/>
    <w:rsid w:val="00413A35"/>
    <w:rsid w:val="00413F24"/>
    <w:rsid w:val="004146A4"/>
    <w:rsid w:val="00414FB9"/>
    <w:rsid w:val="00414FDD"/>
    <w:rsid w:val="004150A5"/>
    <w:rsid w:val="0041636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1EA1"/>
    <w:rsid w:val="00422305"/>
    <w:rsid w:val="00422672"/>
    <w:rsid w:val="004230CA"/>
    <w:rsid w:val="00423695"/>
    <w:rsid w:val="00423F92"/>
    <w:rsid w:val="00424030"/>
    <w:rsid w:val="00424B55"/>
    <w:rsid w:val="004257AD"/>
    <w:rsid w:val="00425A63"/>
    <w:rsid w:val="00426038"/>
    <w:rsid w:val="0042639A"/>
    <w:rsid w:val="004267F3"/>
    <w:rsid w:val="00426D9C"/>
    <w:rsid w:val="00426ED1"/>
    <w:rsid w:val="004272AB"/>
    <w:rsid w:val="00427CBE"/>
    <w:rsid w:val="00430583"/>
    <w:rsid w:val="00430764"/>
    <w:rsid w:val="0043076F"/>
    <w:rsid w:val="0043116B"/>
    <w:rsid w:val="0043141D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61F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597"/>
    <w:rsid w:val="004419F8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14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A0F"/>
    <w:rsid w:val="00454DA1"/>
    <w:rsid w:val="00455038"/>
    <w:rsid w:val="00455B94"/>
    <w:rsid w:val="00455F54"/>
    <w:rsid w:val="00456017"/>
    <w:rsid w:val="0045658B"/>
    <w:rsid w:val="00457515"/>
    <w:rsid w:val="00457E50"/>
    <w:rsid w:val="0046045D"/>
    <w:rsid w:val="004604F2"/>
    <w:rsid w:val="0046161D"/>
    <w:rsid w:val="00461773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AE9"/>
    <w:rsid w:val="00467666"/>
    <w:rsid w:val="0046768D"/>
    <w:rsid w:val="0047039D"/>
    <w:rsid w:val="00470E71"/>
    <w:rsid w:val="004712AD"/>
    <w:rsid w:val="00472265"/>
    <w:rsid w:val="00472F38"/>
    <w:rsid w:val="00473874"/>
    <w:rsid w:val="004738E9"/>
    <w:rsid w:val="004740EB"/>
    <w:rsid w:val="0047464A"/>
    <w:rsid w:val="00474D6A"/>
    <w:rsid w:val="004752D5"/>
    <w:rsid w:val="00475924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1C3"/>
    <w:rsid w:val="004903B9"/>
    <w:rsid w:val="0049052C"/>
    <w:rsid w:val="00490CB2"/>
    <w:rsid w:val="00490E9A"/>
    <w:rsid w:val="00491BB1"/>
    <w:rsid w:val="004921D9"/>
    <w:rsid w:val="004923DA"/>
    <w:rsid w:val="004926BE"/>
    <w:rsid w:val="00492CEC"/>
    <w:rsid w:val="00492E60"/>
    <w:rsid w:val="00494364"/>
    <w:rsid w:val="00494743"/>
    <w:rsid w:val="004948C0"/>
    <w:rsid w:val="00494F00"/>
    <w:rsid w:val="0049507D"/>
    <w:rsid w:val="00495AA1"/>
    <w:rsid w:val="00495E90"/>
    <w:rsid w:val="0049620C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748"/>
    <w:rsid w:val="004A2BAE"/>
    <w:rsid w:val="004A2F66"/>
    <w:rsid w:val="004A3556"/>
    <w:rsid w:val="004A3ECE"/>
    <w:rsid w:val="004A45A2"/>
    <w:rsid w:val="004A482B"/>
    <w:rsid w:val="004A49D7"/>
    <w:rsid w:val="004A5311"/>
    <w:rsid w:val="004A5AE2"/>
    <w:rsid w:val="004A5F24"/>
    <w:rsid w:val="004A71A1"/>
    <w:rsid w:val="004A77E9"/>
    <w:rsid w:val="004B021D"/>
    <w:rsid w:val="004B047F"/>
    <w:rsid w:val="004B060B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A31"/>
    <w:rsid w:val="004C0B7F"/>
    <w:rsid w:val="004C108A"/>
    <w:rsid w:val="004C113F"/>
    <w:rsid w:val="004C1224"/>
    <w:rsid w:val="004C197F"/>
    <w:rsid w:val="004C1E45"/>
    <w:rsid w:val="004C20C5"/>
    <w:rsid w:val="004C2862"/>
    <w:rsid w:val="004C2976"/>
    <w:rsid w:val="004C2A58"/>
    <w:rsid w:val="004C407F"/>
    <w:rsid w:val="004C42E8"/>
    <w:rsid w:val="004C44C9"/>
    <w:rsid w:val="004C4B60"/>
    <w:rsid w:val="004C53B4"/>
    <w:rsid w:val="004C543E"/>
    <w:rsid w:val="004C5CE9"/>
    <w:rsid w:val="004C6066"/>
    <w:rsid w:val="004C6361"/>
    <w:rsid w:val="004C6751"/>
    <w:rsid w:val="004C6F01"/>
    <w:rsid w:val="004C7054"/>
    <w:rsid w:val="004C76D5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B68"/>
    <w:rsid w:val="004D2C94"/>
    <w:rsid w:val="004D33B0"/>
    <w:rsid w:val="004D33C9"/>
    <w:rsid w:val="004D3E0A"/>
    <w:rsid w:val="004D580A"/>
    <w:rsid w:val="004D5E7D"/>
    <w:rsid w:val="004D6A03"/>
    <w:rsid w:val="004D71C7"/>
    <w:rsid w:val="004E08FE"/>
    <w:rsid w:val="004E0924"/>
    <w:rsid w:val="004E24D9"/>
    <w:rsid w:val="004E2723"/>
    <w:rsid w:val="004E3000"/>
    <w:rsid w:val="004E332D"/>
    <w:rsid w:val="004E3A8C"/>
    <w:rsid w:val="004E4D67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E7F4C"/>
    <w:rsid w:val="004F0469"/>
    <w:rsid w:val="004F0753"/>
    <w:rsid w:val="004F1743"/>
    <w:rsid w:val="004F1A87"/>
    <w:rsid w:val="004F214F"/>
    <w:rsid w:val="004F2C8B"/>
    <w:rsid w:val="004F2E2A"/>
    <w:rsid w:val="004F2E75"/>
    <w:rsid w:val="004F2F06"/>
    <w:rsid w:val="004F3A2D"/>
    <w:rsid w:val="004F3CB8"/>
    <w:rsid w:val="004F4BC4"/>
    <w:rsid w:val="004F4C43"/>
    <w:rsid w:val="004F5C00"/>
    <w:rsid w:val="004F5E7E"/>
    <w:rsid w:val="004F6710"/>
    <w:rsid w:val="004F6834"/>
    <w:rsid w:val="004F6B5F"/>
    <w:rsid w:val="004F710C"/>
    <w:rsid w:val="004F7627"/>
    <w:rsid w:val="004F7753"/>
    <w:rsid w:val="004F78EF"/>
    <w:rsid w:val="004F797E"/>
    <w:rsid w:val="00500AF4"/>
    <w:rsid w:val="00500C5C"/>
    <w:rsid w:val="005019DD"/>
    <w:rsid w:val="00501C03"/>
    <w:rsid w:val="00501C41"/>
    <w:rsid w:val="00502121"/>
    <w:rsid w:val="00502689"/>
    <w:rsid w:val="0050274F"/>
    <w:rsid w:val="00502C9B"/>
    <w:rsid w:val="0050347F"/>
    <w:rsid w:val="00504387"/>
    <w:rsid w:val="00504CCC"/>
    <w:rsid w:val="00504DB4"/>
    <w:rsid w:val="005052CB"/>
    <w:rsid w:val="005052D8"/>
    <w:rsid w:val="00505316"/>
    <w:rsid w:val="00505539"/>
    <w:rsid w:val="00505A89"/>
    <w:rsid w:val="005065B7"/>
    <w:rsid w:val="0050765E"/>
    <w:rsid w:val="0050771D"/>
    <w:rsid w:val="00507C58"/>
    <w:rsid w:val="00507CA3"/>
    <w:rsid w:val="00507E27"/>
    <w:rsid w:val="00510234"/>
    <w:rsid w:val="00510787"/>
    <w:rsid w:val="0051222E"/>
    <w:rsid w:val="00512A0D"/>
    <w:rsid w:val="00512D30"/>
    <w:rsid w:val="005135C6"/>
    <w:rsid w:val="00513968"/>
    <w:rsid w:val="00513C21"/>
    <w:rsid w:val="0051439A"/>
    <w:rsid w:val="0051439F"/>
    <w:rsid w:val="00514437"/>
    <w:rsid w:val="00514460"/>
    <w:rsid w:val="005144AC"/>
    <w:rsid w:val="00515288"/>
    <w:rsid w:val="00515457"/>
    <w:rsid w:val="005161E2"/>
    <w:rsid w:val="00517344"/>
    <w:rsid w:val="005173A1"/>
    <w:rsid w:val="0051741C"/>
    <w:rsid w:val="005174C3"/>
    <w:rsid w:val="00517FAB"/>
    <w:rsid w:val="00520226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A7E"/>
    <w:rsid w:val="00527BA7"/>
    <w:rsid w:val="00527BCB"/>
    <w:rsid w:val="00530A76"/>
    <w:rsid w:val="00530A83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06A"/>
    <w:rsid w:val="00533613"/>
    <w:rsid w:val="0053387E"/>
    <w:rsid w:val="005345AD"/>
    <w:rsid w:val="00535050"/>
    <w:rsid w:val="005355EF"/>
    <w:rsid w:val="005357DC"/>
    <w:rsid w:val="00535970"/>
    <w:rsid w:val="005359E0"/>
    <w:rsid w:val="00535F8F"/>
    <w:rsid w:val="00536ADF"/>
    <w:rsid w:val="00536D45"/>
    <w:rsid w:val="00536F8B"/>
    <w:rsid w:val="0053706F"/>
    <w:rsid w:val="00537B2D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50371"/>
    <w:rsid w:val="005503DE"/>
    <w:rsid w:val="00550567"/>
    <w:rsid w:val="00551135"/>
    <w:rsid w:val="00551537"/>
    <w:rsid w:val="005517B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6CA"/>
    <w:rsid w:val="005547A8"/>
    <w:rsid w:val="00555126"/>
    <w:rsid w:val="005554D1"/>
    <w:rsid w:val="00555585"/>
    <w:rsid w:val="00555B3C"/>
    <w:rsid w:val="00555F48"/>
    <w:rsid w:val="00556525"/>
    <w:rsid w:val="00556694"/>
    <w:rsid w:val="005567B0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45E"/>
    <w:rsid w:val="00563BCE"/>
    <w:rsid w:val="00563BFD"/>
    <w:rsid w:val="00563D9D"/>
    <w:rsid w:val="00563F54"/>
    <w:rsid w:val="00564B1A"/>
    <w:rsid w:val="00564DDF"/>
    <w:rsid w:val="00564E95"/>
    <w:rsid w:val="00565194"/>
    <w:rsid w:val="005655F7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34"/>
    <w:rsid w:val="005705AA"/>
    <w:rsid w:val="005714B5"/>
    <w:rsid w:val="00571993"/>
    <w:rsid w:val="00571BD1"/>
    <w:rsid w:val="00571E16"/>
    <w:rsid w:val="00572682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2DA"/>
    <w:rsid w:val="00576431"/>
    <w:rsid w:val="00576502"/>
    <w:rsid w:val="005767C3"/>
    <w:rsid w:val="00576907"/>
    <w:rsid w:val="00580333"/>
    <w:rsid w:val="00580500"/>
    <w:rsid w:val="00581131"/>
    <w:rsid w:val="00581467"/>
    <w:rsid w:val="00581F32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52B9"/>
    <w:rsid w:val="005860CC"/>
    <w:rsid w:val="00586257"/>
    <w:rsid w:val="00587E59"/>
    <w:rsid w:val="00590871"/>
    <w:rsid w:val="00590FEC"/>
    <w:rsid w:val="00591616"/>
    <w:rsid w:val="00591724"/>
    <w:rsid w:val="0059238A"/>
    <w:rsid w:val="005926BC"/>
    <w:rsid w:val="00592B3E"/>
    <w:rsid w:val="00593036"/>
    <w:rsid w:val="00593449"/>
    <w:rsid w:val="005935A1"/>
    <w:rsid w:val="00593780"/>
    <w:rsid w:val="00594310"/>
    <w:rsid w:val="00594864"/>
    <w:rsid w:val="00595A64"/>
    <w:rsid w:val="00595F19"/>
    <w:rsid w:val="00596060"/>
    <w:rsid w:val="0059663A"/>
    <w:rsid w:val="005969D6"/>
    <w:rsid w:val="00596D5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A26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92C"/>
    <w:rsid w:val="005B5BE0"/>
    <w:rsid w:val="005B6439"/>
    <w:rsid w:val="005B6ACD"/>
    <w:rsid w:val="005B7030"/>
    <w:rsid w:val="005B73F7"/>
    <w:rsid w:val="005B755D"/>
    <w:rsid w:val="005B7E6A"/>
    <w:rsid w:val="005C0AFA"/>
    <w:rsid w:val="005C0EE8"/>
    <w:rsid w:val="005C1049"/>
    <w:rsid w:val="005C1AC0"/>
    <w:rsid w:val="005C1C2E"/>
    <w:rsid w:val="005C2B90"/>
    <w:rsid w:val="005C2C9F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2A37"/>
    <w:rsid w:val="005E2F2D"/>
    <w:rsid w:val="005E3059"/>
    <w:rsid w:val="005E34D1"/>
    <w:rsid w:val="005E3AD6"/>
    <w:rsid w:val="005E42BE"/>
    <w:rsid w:val="005E4C4A"/>
    <w:rsid w:val="005E4EE3"/>
    <w:rsid w:val="005E51EB"/>
    <w:rsid w:val="005E65DA"/>
    <w:rsid w:val="005E6966"/>
    <w:rsid w:val="005E6C0F"/>
    <w:rsid w:val="005E7280"/>
    <w:rsid w:val="005F02DA"/>
    <w:rsid w:val="005F10A2"/>
    <w:rsid w:val="005F158C"/>
    <w:rsid w:val="005F1651"/>
    <w:rsid w:val="005F1701"/>
    <w:rsid w:val="005F2297"/>
    <w:rsid w:val="005F23BB"/>
    <w:rsid w:val="005F26D0"/>
    <w:rsid w:val="005F4EEB"/>
    <w:rsid w:val="005F500C"/>
    <w:rsid w:val="005F5027"/>
    <w:rsid w:val="005F5A45"/>
    <w:rsid w:val="005F5B60"/>
    <w:rsid w:val="005F5C6B"/>
    <w:rsid w:val="005F6056"/>
    <w:rsid w:val="005F6105"/>
    <w:rsid w:val="005F6CAD"/>
    <w:rsid w:val="005F72BA"/>
    <w:rsid w:val="005F7A71"/>
    <w:rsid w:val="005F7A78"/>
    <w:rsid w:val="005F7DE2"/>
    <w:rsid w:val="005F7F02"/>
    <w:rsid w:val="006007C5"/>
    <w:rsid w:val="00600886"/>
    <w:rsid w:val="006014C1"/>
    <w:rsid w:val="00601647"/>
    <w:rsid w:val="00601C2D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6AB"/>
    <w:rsid w:val="006068B7"/>
    <w:rsid w:val="0060694B"/>
    <w:rsid w:val="00606998"/>
    <w:rsid w:val="00606F0D"/>
    <w:rsid w:val="0060706B"/>
    <w:rsid w:val="006071AB"/>
    <w:rsid w:val="00607425"/>
    <w:rsid w:val="006074B5"/>
    <w:rsid w:val="006077B6"/>
    <w:rsid w:val="0060797D"/>
    <w:rsid w:val="00607F04"/>
    <w:rsid w:val="006102F7"/>
    <w:rsid w:val="006104F2"/>
    <w:rsid w:val="00610E9F"/>
    <w:rsid w:val="006110C8"/>
    <w:rsid w:val="00611386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4E5"/>
    <w:rsid w:val="006167C2"/>
    <w:rsid w:val="0061682C"/>
    <w:rsid w:val="00616F80"/>
    <w:rsid w:val="00616FAD"/>
    <w:rsid w:val="0061729F"/>
    <w:rsid w:val="00617360"/>
    <w:rsid w:val="00617489"/>
    <w:rsid w:val="0061796E"/>
    <w:rsid w:val="006179EB"/>
    <w:rsid w:val="00617ADA"/>
    <w:rsid w:val="0062000C"/>
    <w:rsid w:val="00620206"/>
    <w:rsid w:val="00620B9E"/>
    <w:rsid w:val="00621056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4287"/>
    <w:rsid w:val="0062446E"/>
    <w:rsid w:val="0062542B"/>
    <w:rsid w:val="006257E4"/>
    <w:rsid w:val="00625C2F"/>
    <w:rsid w:val="00625C82"/>
    <w:rsid w:val="00626335"/>
    <w:rsid w:val="00627446"/>
    <w:rsid w:val="0062776A"/>
    <w:rsid w:val="0063049E"/>
    <w:rsid w:val="0063057E"/>
    <w:rsid w:val="00630E68"/>
    <w:rsid w:val="006312CF"/>
    <w:rsid w:val="00631916"/>
    <w:rsid w:val="006333A3"/>
    <w:rsid w:val="00633B4C"/>
    <w:rsid w:val="00633F1A"/>
    <w:rsid w:val="0063510B"/>
    <w:rsid w:val="0063547E"/>
    <w:rsid w:val="00635675"/>
    <w:rsid w:val="00635753"/>
    <w:rsid w:val="006357AD"/>
    <w:rsid w:val="00635AD7"/>
    <w:rsid w:val="006363F0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1AFD"/>
    <w:rsid w:val="0064228D"/>
    <w:rsid w:val="00642E0D"/>
    <w:rsid w:val="00643076"/>
    <w:rsid w:val="00643459"/>
    <w:rsid w:val="00643885"/>
    <w:rsid w:val="00643886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5E3"/>
    <w:rsid w:val="00646795"/>
    <w:rsid w:val="006469E8"/>
    <w:rsid w:val="006469F8"/>
    <w:rsid w:val="00646C3C"/>
    <w:rsid w:val="00646E3D"/>
    <w:rsid w:val="0064720F"/>
    <w:rsid w:val="006477B3"/>
    <w:rsid w:val="00647886"/>
    <w:rsid w:val="00647ADE"/>
    <w:rsid w:val="006506B7"/>
    <w:rsid w:val="00650ACA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2D5"/>
    <w:rsid w:val="006543AB"/>
    <w:rsid w:val="006549E5"/>
    <w:rsid w:val="006554B7"/>
    <w:rsid w:val="00655A02"/>
    <w:rsid w:val="00656264"/>
    <w:rsid w:val="00656389"/>
    <w:rsid w:val="00656E84"/>
    <w:rsid w:val="006573EE"/>
    <w:rsid w:val="00657AB4"/>
    <w:rsid w:val="00657C59"/>
    <w:rsid w:val="0066031D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0D0"/>
    <w:rsid w:val="00664AAA"/>
    <w:rsid w:val="00664D4A"/>
    <w:rsid w:val="00665750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420E"/>
    <w:rsid w:val="0067442E"/>
    <w:rsid w:val="00674569"/>
    <w:rsid w:val="0067541A"/>
    <w:rsid w:val="006762B7"/>
    <w:rsid w:val="00676CC3"/>
    <w:rsid w:val="00677237"/>
    <w:rsid w:val="006772F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3B8"/>
    <w:rsid w:val="006815C8"/>
    <w:rsid w:val="00681DC4"/>
    <w:rsid w:val="00681E0E"/>
    <w:rsid w:val="00681E7C"/>
    <w:rsid w:val="006821D2"/>
    <w:rsid w:val="006821E2"/>
    <w:rsid w:val="0068293D"/>
    <w:rsid w:val="00682E45"/>
    <w:rsid w:val="0068325B"/>
    <w:rsid w:val="006839C6"/>
    <w:rsid w:val="00683A8E"/>
    <w:rsid w:val="00684131"/>
    <w:rsid w:val="00684D1A"/>
    <w:rsid w:val="0068557C"/>
    <w:rsid w:val="00685812"/>
    <w:rsid w:val="00685A10"/>
    <w:rsid w:val="00686750"/>
    <w:rsid w:val="006867FB"/>
    <w:rsid w:val="006869AD"/>
    <w:rsid w:val="006875C3"/>
    <w:rsid w:val="006878B6"/>
    <w:rsid w:val="0069024A"/>
    <w:rsid w:val="00690692"/>
    <w:rsid w:val="0069163F"/>
    <w:rsid w:val="006919B9"/>
    <w:rsid w:val="00691E67"/>
    <w:rsid w:val="0069217D"/>
    <w:rsid w:val="0069240A"/>
    <w:rsid w:val="0069276A"/>
    <w:rsid w:val="00692C5A"/>
    <w:rsid w:val="00693AD7"/>
    <w:rsid w:val="00693E2B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979CA"/>
    <w:rsid w:val="006A06EF"/>
    <w:rsid w:val="006A0BE1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495C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66E"/>
    <w:rsid w:val="006B0F72"/>
    <w:rsid w:val="006B126C"/>
    <w:rsid w:val="006B1579"/>
    <w:rsid w:val="006B16F1"/>
    <w:rsid w:val="006B1C3F"/>
    <w:rsid w:val="006B2068"/>
    <w:rsid w:val="006B222A"/>
    <w:rsid w:val="006B24F3"/>
    <w:rsid w:val="006B251B"/>
    <w:rsid w:val="006B293F"/>
    <w:rsid w:val="006B2A76"/>
    <w:rsid w:val="006B2AAD"/>
    <w:rsid w:val="006B3628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0A5B"/>
    <w:rsid w:val="006C1015"/>
    <w:rsid w:val="006C1AE6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68CC"/>
    <w:rsid w:val="006C69A1"/>
    <w:rsid w:val="006C6C5C"/>
    <w:rsid w:val="006C6E51"/>
    <w:rsid w:val="006C70EB"/>
    <w:rsid w:val="006C7699"/>
    <w:rsid w:val="006C76F4"/>
    <w:rsid w:val="006C77EB"/>
    <w:rsid w:val="006C7CEB"/>
    <w:rsid w:val="006D1B9E"/>
    <w:rsid w:val="006D22D0"/>
    <w:rsid w:val="006D2DBD"/>
    <w:rsid w:val="006D30B9"/>
    <w:rsid w:val="006D3944"/>
    <w:rsid w:val="006D3C03"/>
    <w:rsid w:val="006D3FF6"/>
    <w:rsid w:val="006D42E0"/>
    <w:rsid w:val="006D49AA"/>
    <w:rsid w:val="006D4B6A"/>
    <w:rsid w:val="006D4BD7"/>
    <w:rsid w:val="006D5278"/>
    <w:rsid w:val="006D5703"/>
    <w:rsid w:val="006D592C"/>
    <w:rsid w:val="006D5AE6"/>
    <w:rsid w:val="006D5F8A"/>
    <w:rsid w:val="006D6420"/>
    <w:rsid w:val="006D6C1F"/>
    <w:rsid w:val="006D6CE2"/>
    <w:rsid w:val="006D70AA"/>
    <w:rsid w:val="006D7762"/>
    <w:rsid w:val="006D788E"/>
    <w:rsid w:val="006E02FA"/>
    <w:rsid w:val="006E0339"/>
    <w:rsid w:val="006E0C1C"/>
    <w:rsid w:val="006E0F08"/>
    <w:rsid w:val="006E15EE"/>
    <w:rsid w:val="006E1714"/>
    <w:rsid w:val="006E1716"/>
    <w:rsid w:val="006E19F1"/>
    <w:rsid w:val="006E1BF3"/>
    <w:rsid w:val="006E1D8E"/>
    <w:rsid w:val="006E22BE"/>
    <w:rsid w:val="006E2FD6"/>
    <w:rsid w:val="006E3286"/>
    <w:rsid w:val="006E3CDB"/>
    <w:rsid w:val="006E4205"/>
    <w:rsid w:val="006E4966"/>
    <w:rsid w:val="006E4C3F"/>
    <w:rsid w:val="006E55B5"/>
    <w:rsid w:val="006E5998"/>
    <w:rsid w:val="006E5E05"/>
    <w:rsid w:val="006E5E0E"/>
    <w:rsid w:val="006E6A1D"/>
    <w:rsid w:val="006E6F9C"/>
    <w:rsid w:val="006E760B"/>
    <w:rsid w:val="006E780E"/>
    <w:rsid w:val="006F0449"/>
    <w:rsid w:val="006F207C"/>
    <w:rsid w:val="006F212C"/>
    <w:rsid w:val="006F2414"/>
    <w:rsid w:val="006F25D8"/>
    <w:rsid w:val="006F26AF"/>
    <w:rsid w:val="006F2792"/>
    <w:rsid w:val="006F3393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21C"/>
    <w:rsid w:val="007009B4"/>
    <w:rsid w:val="00700F79"/>
    <w:rsid w:val="00701251"/>
    <w:rsid w:val="007018E3"/>
    <w:rsid w:val="0070198D"/>
    <w:rsid w:val="0070237F"/>
    <w:rsid w:val="00702E53"/>
    <w:rsid w:val="0070320B"/>
    <w:rsid w:val="00703C25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A79"/>
    <w:rsid w:val="00707BA8"/>
    <w:rsid w:val="00710116"/>
    <w:rsid w:val="00711CBF"/>
    <w:rsid w:val="007120AC"/>
    <w:rsid w:val="00713B0D"/>
    <w:rsid w:val="00713CB0"/>
    <w:rsid w:val="007145A1"/>
    <w:rsid w:val="007146F4"/>
    <w:rsid w:val="00714A6D"/>
    <w:rsid w:val="007160CB"/>
    <w:rsid w:val="00716AD0"/>
    <w:rsid w:val="007174EE"/>
    <w:rsid w:val="0071772A"/>
    <w:rsid w:val="007178C6"/>
    <w:rsid w:val="00717966"/>
    <w:rsid w:val="00717DEB"/>
    <w:rsid w:val="0072025B"/>
    <w:rsid w:val="00720480"/>
    <w:rsid w:val="00720CDD"/>
    <w:rsid w:val="007214C9"/>
    <w:rsid w:val="0072194E"/>
    <w:rsid w:val="00721A9B"/>
    <w:rsid w:val="0072246E"/>
    <w:rsid w:val="00722EDF"/>
    <w:rsid w:val="00722FB8"/>
    <w:rsid w:val="007237CD"/>
    <w:rsid w:val="007239E0"/>
    <w:rsid w:val="00723DE2"/>
    <w:rsid w:val="0072476C"/>
    <w:rsid w:val="00724C3D"/>
    <w:rsid w:val="00724E4C"/>
    <w:rsid w:val="0072502C"/>
    <w:rsid w:val="00725783"/>
    <w:rsid w:val="00725E67"/>
    <w:rsid w:val="00725FE1"/>
    <w:rsid w:val="00726CB2"/>
    <w:rsid w:val="00726D10"/>
    <w:rsid w:val="00726D71"/>
    <w:rsid w:val="00727B06"/>
    <w:rsid w:val="007305D2"/>
    <w:rsid w:val="00730C91"/>
    <w:rsid w:val="007313B9"/>
    <w:rsid w:val="00731513"/>
    <w:rsid w:val="007315E4"/>
    <w:rsid w:val="007315FC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4EF"/>
    <w:rsid w:val="00735A3E"/>
    <w:rsid w:val="00735A8E"/>
    <w:rsid w:val="00735F87"/>
    <w:rsid w:val="007362C8"/>
    <w:rsid w:val="00736AC6"/>
    <w:rsid w:val="00737B2A"/>
    <w:rsid w:val="00737B5C"/>
    <w:rsid w:val="007402BC"/>
    <w:rsid w:val="00740399"/>
    <w:rsid w:val="00740871"/>
    <w:rsid w:val="00740ED2"/>
    <w:rsid w:val="00741295"/>
    <w:rsid w:val="0074205B"/>
    <w:rsid w:val="00742270"/>
    <w:rsid w:val="0074240D"/>
    <w:rsid w:val="007426EC"/>
    <w:rsid w:val="007430A9"/>
    <w:rsid w:val="00743EF9"/>
    <w:rsid w:val="007448A9"/>
    <w:rsid w:val="00744C38"/>
    <w:rsid w:val="00744CBC"/>
    <w:rsid w:val="00744E4F"/>
    <w:rsid w:val="00745458"/>
    <w:rsid w:val="00745664"/>
    <w:rsid w:val="00745790"/>
    <w:rsid w:val="007458F0"/>
    <w:rsid w:val="00745B28"/>
    <w:rsid w:val="00745C94"/>
    <w:rsid w:val="0074659E"/>
    <w:rsid w:val="00746EC5"/>
    <w:rsid w:val="007471C7"/>
    <w:rsid w:val="00747A2D"/>
    <w:rsid w:val="00750398"/>
    <w:rsid w:val="00750C79"/>
    <w:rsid w:val="00752347"/>
    <w:rsid w:val="007527E5"/>
    <w:rsid w:val="007530BA"/>
    <w:rsid w:val="00753481"/>
    <w:rsid w:val="0075367B"/>
    <w:rsid w:val="0075375A"/>
    <w:rsid w:val="007539EC"/>
    <w:rsid w:val="00754DF4"/>
    <w:rsid w:val="00754F98"/>
    <w:rsid w:val="00755E01"/>
    <w:rsid w:val="0075665F"/>
    <w:rsid w:val="00756F03"/>
    <w:rsid w:val="00756F1B"/>
    <w:rsid w:val="00757B29"/>
    <w:rsid w:val="00760309"/>
    <w:rsid w:val="00760AB5"/>
    <w:rsid w:val="00760B79"/>
    <w:rsid w:val="00760CDA"/>
    <w:rsid w:val="00760E73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5FB"/>
    <w:rsid w:val="00766F3F"/>
    <w:rsid w:val="00767697"/>
    <w:rsid w:val="007678C3"/>
    <w:rsid w:val="007706B3"/>
    <w:rsid w:val="007707F6"/>
    <w:rsid w:val="007708F4"/>
    <w:rsid w:val="007709CF"/>
    <w:rsid w:val="00771155"/>
    <w:rsid w:val="00771484"/>
    <w:rsid w:val="00771679"/>
    <w:rsid w:val="00771713"/>
    <w:rsid w:val="00771850"/>
    <w:rsid w:val="00771B0E"/>
    <w:rsid w:val="007725BD"/>
    <w:rsid w:val="00772A40"/>
    <w:rsid w:val="007738C0"/>
    <w:rsid w:val="007745CA"/>
    <w:rsid w:val="007745F3"/>
    <w:rsid w:val="00774837"/>
    <w:rsid w:val="0077542B"/>
    <w:rsid w:val="0077549B"/>
    <w:rsid w:val="00776236"/>
    <w:rsid w:val="00776324"/>
    <w:rsid w:val="00776846"/>
    <w:rsid w:val="00776EDC"/>
    <w:rsid w:val="00777B33"/>
    <w:rsid w:val="00780342"/>
    <w:rsid w:val="00781340"/>
    <w:rsid w:val="0078156E"/>
    <w:rsid w:val="0078162F"/>
    <w:rsid w:val="00781DDA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7F4"/>
    <w:rsid w:val="0078597B"/>
    <w:rsid w:val="00785B14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705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08B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3335"/>
    <w:rsid w:val="007A41B9"/>
    <w:rsid w:val="007A43CA"/>
    <w:rsid w:val="007A47B7"/>
    <w:rsid w:val="007A4B1D"/>
    <w:rsid w:val="007A55BF"/>
    <w:rsid w:val="007A5829"/>
    <w:rsid w:val="007A5AB5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0B4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4FB"/>
    <w:rsid w:val="007B3838"/>
    <w:rsid w:val="007B3CC1"/>
    <w:rsid w:val="007B442C"/>
    <w:rsid w:val="007B4693"/>
    <w:rsid w:val="007B5AA8"/>
    <w:rsid w:val="007B6673"/>
    <w:rsid w:val="007B6BDF"/>
    <w:rsid w:val="007B7517"/>
    <w:rsid w:val="007C11DE"/>
    <w:rsid w:val="007C125B"/>
    <w:rsid w:val="007C26B7"/>
    <w:rsid w:val="007C34C5"/>
    <w:rsid w:val="007C3A10"/>
    <w:rsid w:val="007C3E3F"/>
    <w:rsid w:val="007C461B"/>
    <w:rsid w:val="007C473B"/>
    <w:rsid w:val="007C4B8E"/>
    <w:rsid w:val="007C4BC6"/>
    <w:rsid w:val="007C4D5C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1FA"/>
    <w:rsid w:val="007D040A"/>
    <w:rsid w:val="007D0650"/>
    <w:rsid w:val="007D1428"/>
    <w:rsid w:val="007D1580"/>
    <w:rsid w:val="007D1D03"/>
    <w:rsid w:val="007D1EE6"/>
    <w:rsid w:val="007D2534"/>
    <w:rsid w:val="007D2B9C"/>
    <w:rsid w:val="007D2C1E"/>
    <w:rsid w:val="007D2CC5"/>
    <w:rsid w:val="007D2E20"/>
    <w:rsid w:val="007D385D"/>
    <w:rsid w:val="007D42F8"/>
    <w:rsid w:val="007D45E1"/>
    <w:rsid w:val="007D47DF"/>
    <w:rsid w:val="007D541B"/>
    <w:rsid w:val="007D54D7"/>
    <w:rsid w:val="007D569A"/>
    <w:rsid w:val="007D56FD"/>
    <w:rsid w:val="007D5C94"/>
    <w:rsid w:val="007D5D95"/>
    <w:rsid w:val="007D61AD"/>
    <w:rsid w:val="007D61CC"/>
    <w:rsid w:val="007D6585"/>
    <w:rsid w:val="007D6613"/>
    <w:rsid w:val="007D6ECF"/>
    <w:rsid w:val="007D798A"/>
    <w:rsid w:val="007D79A8"/>
    <w:rsid w:val="007D7A34"/>
    <w:rsid w:val="007D7A4B"/>
    <w:rsid w:val="007D7B9A"/>
    <w:rsid w:val="007E05CA"/>
    <w:rsid w:val="007E09B8"/>
    <w:rsid w:val="007E0CA6"/>
    <w:rsid w:val="007E110A"/>
    <w:rsid w:val="007E224B"/>
    <w:rsid w:val="007E2ED2"/>
    <w:rsid w:val="007E3624"/>
    <w:rsid w:val="007E3B11"/>
    <w:rsid w:val="007E42F5"/>
    <w:rsid w:val="007E47DA"/>
    <w:rsid w:val="007E4838"/>
    <w:rsid w:val="007E501B"/>
    <w:rsid w:val="007E53C6"/>
    <w:rsid w:val="007E66FB"/>
    <w:rsid w:val="007E6833"/>
    <w:rsid w:val="007E6A1A"/>
    <w:rsid w:val="007E6B1F"/>
    <w:rsid w:val="007E6D75"/>
    <w:rsid w:val="007E757A"/>
    <w:rsid w:val="007E7E4C"/>
    <w:rsid w:val="007E7E9B"/>
    <w:rsid w:val="007E7F70"/>
    <w:rsid w:val="007F000B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24B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593"/>
    <w:rsid w:val="007F67C6"/>
    <w:rsid w:val="007F6A5B"/>
    <w:rsid w:val="007F6F36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4F4"/>
    <w:rsid w:val="00803655"/>
    <w:rsid w:val="008038FD"/>
    <w:rsid w:val="00804166"/>
    <w:rsid w:val="00804977"/>
    <w:rsid w:val="00805434"/>
    <w:rsid w:val="008054BC"/>
    <w:rsid w:val="008056E3"/>
    <w:rsid w:val="0080573F"/>
    <w:rsid w:val="00805D1C"/>
    <w:rsid w:val="00805E17"/>
    <w:rsid w:val="00805E85"/>
    <w:rsid w:val="00806787"/>
    <w:rsid w:val="008079F3"/>
    <w:rsid w:val="00807AB7"/>
    <w:rsid w:val="0081003B"/>
    <w:rsid w:val="00810369"/>
    <w:rsid w:val="00810770"/>
    <w:rsid w:val="00810F02"/>
    <w:rsid w:val="00811127"/>
    <w:rsid w:val="008124B6"/>
    <w:rsid w:val="008126AB"/>
    <w:rsid w:val="00812EE6"/>
    <w:rsid w:val="00813087"/>
    <w:rsid w:val="00813583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1734A"/>
    <w:rsid w:val="00820133"/>
    <w:rsid w:val="008202DC"/>
    <w:rsid w:val="0082046C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077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A64"/>
    <w:rsid w:val="00830BED"/>
    <w:rsid w:val="00830C5F"/>
    <w:rsid w:val="00831EDA"/>
    <w:rsid w:val="00832570"/>
    <w:rsid w:val="00832F93"/>
    <w:rsid w:val="00833031"/>
    <w:rsid w:val="00833408"/>
    <w:rsid w:val="008336B5"/>
    <w:rsid w:val="008337EA"/>
    <w:rsid w:val="00833A05"/>
    <w:rsid w:val="00833AE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5BAE"/>
    <w:rsid w:val="0083602D"/>
    <w:rsid w:val="00836321"/>
    <w:rsid w:val="0083674C"/>
    <w:rsid w:val="00836834"/>
    <w:rsid w:val="00836FB2"/>
    <w:rsid w:val="00837114"/>
    <w:rsid w:val="00837496"/>
    <w:rsid w:val="008376D2"/>
    <w:rsid w:val="00837AE4"/>
    <w:rsid w:val="00837C63"/>
    <w:rsid w:val="00837E18"/>
    <w:rsid w:val="00841D8B"/>
    <w:rsid w:val="00841E3A"/>
    <w:rsid w:val="00843293"/>
    <w:rsid w:val="008432A0"/>
    <w:rsid w:val="008436B3"/>
    <w:rsid w:val="00843FB5"/>
    <w:rsid w:val="00844514"/>
    <w:rsid w:val="0084471B"/>
    <w:rsid w:val="008449B2"/>
    <w:rsid w:val="00844AB8"/>
    <w:rsid w:val="00844CD6"/>
    <w:rsid w:val="00844EC5"/>
    <w:rsid w:val="00845172"/>
    <w:rsid w:val="00845219"/>
    <w:rsid w:val="008458FE"/>
    <w:rsid w:val="00845F46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BCC"/>
    <w:rsid w:val="00852D6D"/>
    <w:rsid w:val="0085317C"/>
    <w:rsid w:val="00853708"/>
    <w:rsid w:val="00853B92"/>
    <w:rsid w:val="00853D00"/>
    <w:rsid w:val="00854D99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0FB6"/>
    <w:rsid w:val="008612C4"/>
    <w:rsid w:val="008615A8"/>
    <w:rsid w:val="008620D2"/>
    <w:rsid w:val="0086215F"/>
    <w:rsid w:val="00862270"/>
    <w:rsid w:val="008622B7"/>
    <w:rsid w:val="00862521"/>
    <w:rsid w:val="00863177"/>
    <w:rsid w:val="0086334F"/>
    <w:rsid w:val="008638EA"/>
    <w:rsid w:val="00864066"/>
    <w:rsid w:val="008646BB"/>
    <w:rsid w:val="00864F8E"/>
    <w:rsid w:val="00865AB7"/>
    <w:rsid w:val="00865EF4"/>
    <w:rsid w:val="008669A2"/>
    <w:rsid w:val="0086722E"/>
    <w:rsid w:val="00870296"/>
    <w:rsid w:val="0087045C"/>
    <w:rsid w:val="008704E0"/>
    <w:rsid w:val="0087089E"/>
    <w:rsid w:val="00870D09"/>
    <w:rsid w:val="00870ED6"/>
    <w:rsid w:val="00870F6B"/>
    <w:rsid w:val="00871441"/>
    <w:rsid w:val="0087151B"/>
    <w:rsid w:val="00871B4E"/>
    <w:rsid w:val="008720AC"/>
    <w:rsid w:val="008727B6"/>
    <w:rsid w:val="008727F0"/>
    <w:rsid w:val="00873370"/>
    <w:rsid w:val="0087377F"/>
    <w:rsid w:val="00873B01"/>
    <w:rsid w:val="00873DE4"/>
    <w:rsid w:val="008741CA"/>
    <w:rsid w:val="00874811"/>
    <w:rsid w:val="00874A1C"/>
    <w:rsid w:val="00875A7E"/>
    <w:rsid w:val="0087749D"/>
    <w:rsid w:val="00877ADC"/>
    <w:rsid w:val="00877BE5"/>
    <w:rsid w:val="00881A5F"/>
    <w:rsid w:val="00881E94"/>
    <w:rsid w:val="00881F6C"/>
    <w:rsid w:val="008824EF"/>
    <w:rsid w:val="008830A6"/>
    <w:rsid w:val="00883420"/>
    <w:rsid w:val="00883951"/>
    <w:rsid w:val="00883BF5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205"/>
    <w:rsid w:val="00891390"/>
    <w:rsid w:val="00892B4E"/>
    <w:rsid w:val="00893EA4"/>
    <w:rsid w:val="0089436E"/>
    <w:rsid w:val="0089479C"/>
    <w:rsid w:val="008949A0"/>
    <w:rsid w:val="00894B4F"/>
    <w:rsid w:val="008956F5"/>
    <w:rsid w:val="00896376"/>
    <w:rsid w:val="008970F2"/>
    <w:rsid w:val="00897776"/>
    <w:rsid w:val="008978C8"/>
    <w:rsid w:val="00897E87"/>
    <w:rsid w:val="008A0614"/>
    <w:rsid w:val="008A0C57"/>
    <w:rsid w:val="008A17CB"/>
    <w:rsid w:val="008A1EBD"/>
    <w:rsid w:val="008A2122"/>
    <w:rsid w:val="008A2398"/>
    <w:rsid w:val="008A328E"/>
    <w:rsid w:val="008A4C17"/>
    <w:rsid w:val="008A4CA5"/>
    <w:rsid w:val="008A4F14"/>
    <w:rsid w:val="008A54AE"/>
    <w:rsid w:val="008A58CA"/>
    <w:rsid w:val="008A59B2"/>
    <w:rsid w:val="008A63F0"/>
    <w:rsid w:val="008A6464"/>
    <w:rsid w:val="008A69F7"/>
    <w:rsid w:val="008A7391"/>
    <w:rsid w:val="008A7540"/>
    <w:rsid w:val="008A78D2"/>
    <w:rsid w:val="008B00F0"/>
    <w:rsid w:val="008B084B"/>
    <w:rsid w:val="008B0B12"/>
    <w:rsid w:val="008B0BDB"/>
    <w:rsid w:val="008B1003"/>
    <w:rsid w:val="008B12D6"/>
    <w:rsid w:val="008B18EC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5966"/>
    <w:rsid w:val="008B6A33"/>
    <w:rsid w:val="008B6C51"/>
    <w:rsid w:val="008B6DFC"/>
    <w:rsid w:val="008B6E32"/>
    <w:rsid w:val="008B6EE6"/>
    <w:rsid w:val="008B7E7E"/>
    <w:rsid w:val="008C081F"/>
    <w:rsid w:val="008C0E79"/>
    <w:rsid w:val="008C136C"/>
    <w:rsid w:val="008C184F"/>
    <w:rsid w:val="008C1879"/>
    <w:rsid w:val="008C1985"/>
    <w:rsid w:val="008C2028"/>
    <w:rsid w:val="008C22F4"/>
    <w:rsid w:val="008C25DC"/>
    <w:rsid w:val="008C2958"/>
    <w:rsid w:val="008C2B4E"/>
    <w:rsid w:val="008C2CB8"/>
    <w:rsid w:val="008C3A44"/>
    <w:rsid w:val="008C4668"/>
    <w:rsid w:val="008C489C"/>
    <w:rsid w:val="008C504F"/>
    <w:rsid w:val="008C54D9"/>
    <w:rsid w:val="008C6715"/>
    <w:rsid w:val="008C6BD6"/>
    <w:rsid w:val="008C6C31"/>
    <w:rsid w:val="008C7277"/>
    <w:rsid w:val="008C7969"/>
    <w:rsid w:val="008D07EB"/>
    <w:rsid w:val="008D0873"/>
    <w:rsid w:val="008D0886"/>
    <w:rsid w:val="008D13DC"/>
    <w:rsid w:val="008D1F4F"/>
    <w:rsid w:val="008D21A8"/>
    <w:rsid w:val="008D2344"/>
    <w:rsid w:val="008D2445"/>
    <w:rsid w:val="008D2EF1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6AB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38EB"/>
    <w:rsid w:val="008E497C"/>
    <w:rsid w:val="008E4ECA"/>
    <w:rsid w:val="008E4EEA"/>
    <w:rsid w:val="008E4F9C"/>
    <w:rsid w:val="008E52F4"/>
    <w:rsid w:val="008E54E2"/>
    <w:rsid w:val="008E55D2"/>
    <w:rsid w:val="008E594B"/>
    <w:rsid w:val="008E5E12"/>
    <w:rsid w:val="008E5F23"/>
    <w:rsid w:val="008E629B"/>
    <w:rsid w:val="008E69DF"/>
    <w:rsid w:val="008E6ABA"/>
    <w:rsid w:val="008E6E6B"/>
    <w:rsid w:val="008E7391"/>
    <w:rsid w:val="008E783D"/>
    <w:rsid w:val="008E7BB4"/>
    <w:rsid w:val="008E7DD7"/>
    <w:rsid w:val="008F0233"/>
    <w:rsid w:val="008F0360"/>
    <w:rsid w:val="008F0424"/>
    <w:rsid w:val="008F056E"/>
    <w:rsid w:val="008F0F8A"/>
    <w:rsid w:val="008F1326"/>
    <w:rsid w:val="008F1A5D"/>
    <w:rsid w:val="008F1D22"/>
    <w:rsid w:val="008F2540"/>
    <w:rsid w:val="008F40C0"/>
    <w:rsid w:val="008F463A"/>
    <w:rsid w:val="008F5065"/>
    <w:rsid w:val="008F59C2"/>
    <w:rsid w:val="008F5B89"/>
    <w:rsid w:val="008F61FE"/>
    <w:rsid w:val="008F733D"/>
    <w:rsid w:val="009005DE"/>
    <w:rsid w:val="00900BE9"/>
    <w:rsid w:val="00900C84"/>
    <w:rsid w:val="00900E3C"/>
    <w:rsid w:val="00901DF1"/>
    <w:rsid w:val="009021BB"/>
    <w:rsid w:val="0090222E"/>
    <w:rsid w:val="00902ADD"/>
    <w:rsid w:val="00902AE1"/>
    <w:rsid w:val="00902FB4"/>
    <w:rsid w:val="009037F6"/>
    <w:rsid w:val="00903D1D"/>
    <w:rsid w:val="00903D79"/>
    <w:rsid w:val="009044AA"/>
    <w:rsid w:val="00904ECA"/>
    <w:rsid w:val="00905C16"/>
    <w:rsid w:val="009066DC"/>
    <w:rsid w:val="00906BDC"/>
    <w:rsid w:val="00906E19"/>
    <w:rsid w:val="009075EE"/>
    <w:rsid w:val="00907752"/>
    <w:rsid w:val="00907867"/>
    <w:rsid w:val="00907C8A"/>
    <w:rsid w:val="00910974"/>
    <w:rsid w:val="00910E03"/>
    <w:rsid w:val="00911333"/>
    <w:rsid w:val="009114F0"/>
    <w:rsid w:val="00911A90"/>
    <w:rsid w:val="00911DE0"/>
    <w:rsid w:val="0091213D"/>
    <w:rsid w:val="0091238A"/>
    <w:rsid w:val="0091270D"/>
    <w:rsid w:val="00912C19"/>
    <w:rsid w:val="00913654"/>
    <w:rsid w:val="00913B4F"/>
    <w:rsid w:val="009143E9"/>
    <w:rsid w:val="0091481C"/>
    <w:rsid w:val="0091482A"/>
    <w:rsid w:val="009148A2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326E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6FD8"/>
    <w:rsid w:val="0092745D"/>
    <w:rsid w:val="0092789E"/>
    <w:rsid w:val="00927CFB"/>
    <w:rsid w:val="00930197"/>
    <w:rsid w:val="00930282"/>
    <w:rsid w:val="009308B3"/>
    <w:rsid w:val="00931224"/>
    <w:rsid w:val="0093157C"/>
    <w:rsid w:val="009319CC"/>
    <w:rsid w:val="00931A8E"/>
    <w:rsid w:val="00931B0A"/>
    <w:rsid w:val="00931D7A"/>
    <w:rsid w:val="0093269F"/>
    <w:rsid w:val="0093273C"/>
    <w:rsid w:val="0093304D"/>
    <w:rsid w:val="0093343A"/>
    <w:rsid w:val="0093386A"/>
    <w:rsid w:val="00933D12"/>
    <w:rsid w:val="00934770"/>
    <w:rsid w:val="00934AF0"/>
    <w:rsid w:val="00934BDA"/>
    <w:rsid w:val="00934F62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478"/>
    <w:rsid w:val="00942C6C"/>
    <w:rsid w:val="00942D18"/>
    <w:rsid w:val="009431F4"/>
    <w:rsid w:val="0094342E"/>
    <w:rsid w:val="00943913"/>
    <w:rsid w:val="00943CF0"/>
    <w:rsid w:val="00944607"/>
    <w:rsid w:val="0094463F"/>
    <w:rsid w:val="00945289"/>
    <w:rsid w:val="009459A9"/>
    <w:rsid w:val="00945CEF"/>
    <w:rsid w:val="00945F2A"/>
    <w:rsid w:val="009463EA"/>
    <w:rsid w:val="009466A9"/>
    <w:rsid w:val="0094672C"/>
    <w:rsid w:val="0094750D"/>
    <w:rsid w:val="009478CB"/>
    <w:rsid w:val="009479DE"/>
    <w:rsid w:val="00950735"/>
    <w:rsid w:val="00950AF4"/>
    <w:rsid w:val="009512DE"/>
    <w:rsid w:val="00951807"/>
    <w:rsid w:val="00951875"/>
    <w:rsid w:val="00951E4B"/>
    <w:rsid w:val="00951F5C"/>
    <w:rsid w:val="0095215F"/>
    <w:rsid w:val="009525AD"/>
    <w:rsid w:val="009527A8"/>
    <w:rsid w:val="0095390C"/>
    <w:rsid w:val="00953BA0"/>
    <w:rsid w:val="00953BBB"/>
    <w:rsid w:val="00953CCA"/>
    <w:rsid w:val="0095494D"/>
    <w:rsid w:val="00954D5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1EB5"/>
    <w:rsid w:val="009625A2"/>
    <w:rsid w:val="00962630"/>
    <w:rsid w:val="009627C2"/>
    <w:rsid w:val="009637A6"/>
    <w:rsid w:val="00963AEE"/>
    <w:rsid w:val="00963EA3"/>
    <w:rsid w:val="00964261"/>
    <w:rsid w:val="009644F7"/>
    <w:rsid w:val="00966110"/>
    <w:rsid w:val="0096629E"/>
    <w:rsid w:val="009663C3"/>
    <w:rsid w:val="00967172"/>
    <w:rsid w:val="00967501"/>
    <w:rsid w:val="00967577"/>
    <w:rsid w:val="0096780C"/>
    <w:rsid w:val="00967BC2"/>
    <w:rsid w:val="00967C92"/>
    <w:rsid w:val="00970791"/>
    <w:rsid w:val="009713D3"/>
    <w:rsid w:val="00971480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5F1A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20F"/>
    <w:rsid w:val="009835DF"/>
    <w:rsid w:val="009836AB"/>
    <w:rsid w:val="00984294"/>
    <w:rsid w:val="00984550"/>
    <w:rsid w:val="00984BEB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5E2"/>
    <w:rsid w:val="009939E3"/>
    <w:rsid w:val="00994B3B"/>
    <w:rsid w:val="00994C99"/>
    <w:rsid w:val="00994EA0"/>
    <w:rsid w:val="00995079"/>
    <w:rsid w:val="009951CF"/>
    <w:rsid w:val="00995544"/>
    <w:rsid w:val="009956A5"/>
    <w:rsid w:val="009956E4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0F44"/>
    <w:rsid w:val="009A1129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63B2"/>
    <w:rsid w:val="009A7A0E"/>
    <w:rsid w:val="009B0C3A"/>
    <w:rsid w:val="009B0D1D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0D9"/>
    <w:rsid w:val="009B4B79"/>
    <w:rsid w:val="009B4E83"/>
    <w:rsid w:val="009B525E"/>
    <w:rsid w:val="009B5888"/>
    <w:rsid w:val="009B5A89"/>
    <w:rsid w:val="009B5B48"/>
    <w:rsid w:val="009B5D56"/>
    <w:rsid w:val="009B5F22"/>
    <w:rsid w:val="009B610A"/>
    <w:rsid w:val="009B6384"/>
    <w:rsid w:val="009B6462"/>
    <w:rsid w:val="009B6A9A"/>
    <w:rsid w:val="009B6BC2"/>
    <w:rsid w:val="009B7162"/>
    <w:rsid w:val="009B7BF5"/>
    <w:rsid w:val="009B7E09"/>
    <w:rsid w:val="009B7F9B"/>
    <w:rsid w:val="009B7FF7"/>
    <w:rsid w:val="009C029E"/>
    <w:rsid w:val="009C0338"/>
    <w:rsid w:val="009C09D3"/>
    <w:rsid w:val="009C1073"/>
    <w:rsid w:val="009C1212"/>
    <w:rsid w:val="009C15CD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0993"/>
    <w:rsid w:val="009D0C60"/>
    <w:rsid w:val="009D1369"/>
    <w:rsid w:val="009D136E"/>
    <w:rsid w:val="009D1BD6"/>
    <w:rsid w:val="009D1D1B"/>
    <w:rsid w:val="009D1F7F"/>
    <w:rsid w:val="009D2333"/>
    <w:rsid w:val="009D2464"/>
    <w:rsid w:val="009D2F09"/>
    <w:rsid w:val="009D3760"/>
    <w:rsid w:val="009D386B"/>
    <w:rsid w:val="009D3AEC"/>
    <w:rsid w:val="009D3F83"/>
    <w:rsid w:val="009D3FF2"/>
    <w:rsid w:val="009D4E59"/>
    <w:rsid w:val="009D5C41"/>
    <w:rsid w:val="009D65F5"/>
    <w:rsid w:val="009D66BA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2BC1"/>
    <w:rsid w:val="009E3AC8"/>
    <w:rsid w:val="009E4114"/>
    <w:rsid w:val="009E4345"/>
    <w:rsid w:val="009E43C7"/>
    <w:rsid w:val="009E450B"/>
    <w:rsid w:val="009E4A26"/>
    <w:rsid w:val="009E4FF4"/>
    <w:rsid w:val="009E5039"/>
    <w:rsid w:val="009E5671"/>
    <w:rsid w:val="009E57E2"/>
    <w:rsid w:val="009E57EE"/>
    <w:rsid w:val="009E5BE7"/>
    <w:rsid w:val="009E61D4"/>
    <w:rsid w:val="009E71C7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C4E"/>
    <w:rsid w:val="009F2F5F"/>
    <w:rsid w:val="009F2FFC"/>
    <w:rsid w:val="009F3410"/>
    <w:rsid w:val="009F3E90"/>
    <w:rsid w:val="009F498F"/>
    <w:rsid w:val="009F4C9A"/>
    <w:rsid w:val="009F4DE5"/>
    <w:rsid w:val="009F5222"/>
    <w:rsid w:val="009F5805"/>
    <w:rsid w:val="009F6DD8"/>
    <w:rsid w:val="009F7A0A"/>
    <w:rsid w:val="009F7CE9"/>
    <w:rsid w:val="009F7EA3"/>
    <w:rsid w:val="009F7ED2"/>
    <w:rsid w:val="00A0018E"/>
    <w:rsid w:val="00A00587"/>
    <w:rsid w:val="00A00DBA"/>
    <w:rsid w:val="00A01213"/>
    <w:rsid w:val="00A014DD"/>
    <w:rsid w:val="00A01EF6"/>
    <w:rsid w:val="00A01EF9"/>
    <w:rsid w:val="00A02041"/>
    <w:rsid w:val="00A02726"/>
    <w:rsid w:val="00A02CA9"/>
    <w:rsid w:val="00A02E0C"/>
    <w:rsid w:val="00A03BE1"/>
    <w:rsid w:val="00A03D9E"/>
    <w:rsid w:val="00A04CEB"/>
    <w:rsid w:val="00A0521F"/>
    <w:rsid w:val="00A058F4"/>
    <w:rsid w:val="00A05923"/>
    <w:rsid w:val="00A05A30"/>
    <w:rsid w:val="00A05B12"/>
    <w:rsid w:val="00A05B8E"/>
    <w:rsid w:val="00A05CD9"/>
    <w:rsid w:val="00A05F9D"/>
    <w:rsid w:val="00A0684B"/>
    <w:rsid w:val="00A06B86"/>
    <w:rsid w:val="00A06E09"/>
    <w:rsid w:val="00A070CE"/>
    <w:rsid w:val="00A079C1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618"/>
    <w:rsid w:val="00A139D3"/>
    <w:rsid w:val="00A13F4B"/>
    <w:rsid w:val="00A141EB"/>
    <w:rsid w:val="00A155BD"/>
    <w:rsid w:val="00A155D0"/>
    <w:rsid w:val="00A15E2A"/>
    <w:rsid w:val="00A16146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144"/>
    <w:rsid w:val="00A2458B"/>
    <w:rsid w:val="00A24AE7"/>
    <w:rsid w:val="00A2520F"/>
    <w:rsid w:val="00A25213"/>
    <w:rsid w:val="00A254E0"/>
    <w:rsid w:val="00A25A5A"/>
    <w:rsid w:val="00A25B33"/>
    <w:rsid w:val="00A25E3A"/>
    <w:rsid w:val="00A26538"/>
    <w:rsid w:val="00A26748"/>
    <w:rsid w:val="00A26EB0"/>
    <w:rsid w:val="00A2728C"/>
    <w:rsid w:val="00A273D7"/>
    <w:rsid w:val="00A27444"/>
    <w:rsid w:val="00A27C27"/>
    <w:rsid w:val="00A27E86"/>
    <w:rsid w:val="00A30166"/>
    <w:rsid w:val="00A305D3"/>
    <w:rsid w:val="00A30B13"/>
    <w:rsid w:val="00A31625"/>
    <w:rsid w:val="00A3199C"/>
    <w:rsid w:val="00A31AC5"/>
    <w:rsid w:val="00A31C08"/>
    <w:rsid w:val="00A31EEE"/>
    <w:rsid w:val="00A324AF"/>
    <w:rsid w:val="00A32583"/>
    <w:rsid w:val="00A3336E"/>
    <w:rsid w:val="00A33914"/>
    <w:rsid w:val="00A33A3C"/>
    <w:rsid w:val="00A349AA"/>
    <w:rsid w:val="00A35612"/>
    <w:rsid w:val="00A3564E"/>
    <w:rsid w:val="00A35735"/>
    <w:rsid w:val="00A3594E"/>
    <w:rsid w:val="00A35B5B"/>
    <w:rsid w:val="00A35BD4"/>
    <w:rsid w:val="00A35DCA"/>
    <w:rsid w:val="00A365A9"/>
    <w:rsid w:val="00A37300"/>
    <w:rsid w:val="00A40304"/>
    <w:rsid w:val="00A40491"/>
    <w:rsid w:val="00A4059E"/>
    <w:rsid w:val="00A41166"/>
    <w:rsid w:val="00A411BC"/>
    <w:rsid w:val="00A41BF2"/>
    <w:rsid w:val="00A41D63"/>
    <w:rsid w:val="00A42064"/>
    <w:rsid w:val="00A424C5"/>
    <w:rsid w:val="00A42DA3"/>
    <w:rsid w:val="00A43A2B"/>
    <w:rsid w:val="00A43D6A"/>
    <w:rsid w:val="00A44000"/>
    <w:rsid w:val="00A44BAC"/>
    <w:rsid w:val="00A4598B"/>
    <w:rsid w:val="00A4653C"/>
    <w:rsid w:val="00A4686E"/>
    <w:rsid w:val="00A46B8B"/>
    <w:rsid w:val="00A46CFC"/>
    <w:rsid w:val="00A47282"/>
    <w:rsid w:val="00A475FD"/>
    <w:rsid w:val="00A50452"/>
    <w:rsid w:val="00A505A0"/>
    <w:rsid w:val="00A506F9"/>
    <w:rsid w:val="00A51CD9"/>
    <w:rsid w:val="00A51D1D"/>
    <w:rsid w:val="00A51D28"/>
    <w:rsid w:val="00A51E95"/>
    <w:rsid w:val="00A52004"/>
    <w:rsid w:val="00A523DC"/>
    <w:rsid w:val="00A5266F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0F"/>
    <w:rsid w:val="00A5468D"/>
    <w:rsid w:val="00A547F6"/>
    <w:rsid w:val="00A56178"/>
    <w:rsid w:val="00A564BE"/>
    <w:rsid w:val="00A575A6"/>
    <w:rsid w:val="00A577E9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56E"/>
    <w:rsid w:val="00A66A14"/>
    <w:rsid w:val="00A67236"/>
    <w:rsid w:val="00A67A3A"/>
    <w:rsid w:val="00A70E30"/>
    <w:rsid w:val="00A70F1E"/>
    <w:rsid w:val="00A71328"/>
    <w:rsid w:val="00A71D75"/>
    <w:rsid w:val="00A722BB"/>
    <w:rsid w:val="00A726D1"/>
    <w:rsid w:val="00A7292F"/>
    <w:rsid w:val="00A72CA5"/>
    <w:rsid w:val="00A731B7"/>
    <w:rsid w:val="00A73585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2F67"/>
    <w:rsid w:val="00A84F77"/>
    <w:rsid w:val="00A85117"/>
    <w:rsid w:val="00A85175"/>
    <w:rsid w:val="00A85237"/>
    <w:rsid w:val="00A86913"/>
    <w:rsid w:val="00A90160"/>
    <w:rsid w:val="00A90422"/>
    <w:rsid w:val="00A90D1F"/>
    <w:rsid w:val="00A90FF2"/>
    <w:rsid w:val="00A91786"/>
    <w:rsid w:val="00A91DA3"/>
    <w:rsid w:val="00A91DAD"/>
    <w:rsid w:val="00A9254A"/>
    <w:rsid w:val="00A9264C"/>
    <w:rsid w:val="00A93243"/>
    <w:rsid w:val="00A9344F"/>
    <w:rsid w:val="00A93BA9"/>
    <w:rsid w:val="00A93BD4"/>
    <w:rsid w:val="00A93C64"/>
    <w:rsid w:val="00A93EB8"/>
    <w:rsid w:val="00A94007"/>
    <w:rsid w:val="00A941E5"/>
    <w:rsid w:val="00A94DC1"/>
    <w:rsid w:val="00A955F9"/>
    <w:rsid w:val="00A95EA8"/>
    <w:rsid w:val="00A967AE"/>
    <w:rsid w:val="00A9758C"/>
    <w:rsid w:val="00A97699"/>
    <w:rsid w:val="00A97846"/>
    <w:rsid w:val="00A97DDA"/>
    <w:rsid w:val="00AA0277"/>
    <w:rsid w:val="00AA062C"/>
    <w:rsid w:val="00AA0F13"/>
    <w:rsid w:val="00AA137B"/>
    <w:rsid w:val="00AA15BD"/>
    <w:rsid w:val="00AA1C0E"/>
    <w:rsid w:val="00AA2CCA"/>
    <w:rsid w:val="00AA34E6"/>
    <w:rsid w:val="00AA37B7"/>
    <w:rsid w:val="00AA3925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5B8"/>
    <w:rsid w:val="00AA782B"/>
    <w:rsid w:val="00AA7B07"/>
    <w:rsid w:val="00AA7B49"/>
    <w:rsid w:val="00AB07E6"/>
    <w:rsid w:val="00AB0C01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0F9"/>
    <w:rsid w:val="00AC1177"/>
    <w:rsid w:val="00AC13F2"/>
    <w:rsid w:val="00AC1620"/>
    <w:rsid w:val="00AC1801"/>
    <w:rsid w:val="00AC18CA"/>
    <w:rsid w:val="00AC1F4C"/>
    <w:rsid w:val="00AC1F9C"/>
    <w:rsid w:val="00AC257E"/>
    <w:rsid w:val="00AC27DC"/>
    <w:rsid w:val="00AC2BCB"/>
    <w:rsid w:val="00AC39E4"/>
    <w:rsid w:val="00AC3A69"/>
    <w:rsid w:val="00AC405F"/>
    <w:rsid w:val="00AC470C"/>
    <w:rsid w:val="00AC49FA"/>
    <w:rsid w:val="00AC4C95"/>
    <w:rsid w:val="00AC4D0D"/>
    <w:rsid w:val="00AC56FD"/>
    <w:rsid w:val="00AC570F"/>
    <w:rsid w:val="00AC5DDE"/>
    <w:rsid w:val="00AC6320"/>
    <w:rsid w:val="00AC754D"/>
    <w:rsid w:val="00AC7CDD"/>
    <w:rsid w:val="00AC7DAA"/>
    <w:rsid w:val="00AD0E16"/>
    <w:rsid w:val="00AD17DF"/>
    <w:rsid w:val="00AD1A7C"/>
    <w:rsid w:val="00AD1D98"/>
    <w:rsid w:val="00AD2F35"/>
    <w:rsid w:val="00AD3580"/>
    <w:rsid w:val="00AD39A5"/>
    <w:rsid w:val="00AD39C9"/>
    <w:rsid w:val="00AD3DCD"/>
    <w:rsid w:val="00AD42A2"/>
    <w:rsid w:val="00AD46CE"/>
    <w:rsid w:val="00AD4A88"/>
    <w:rsid w:val="00AD5C12"/>
    <w:rsid w:val="00AD67AE"/>
    <w:rsid w:val="00AD68EB"/>
    <w:rsid w:val="00AD6F7A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408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088"/>
    <w:rsid w:val="00AF132C"/>
    <w:rsid w:val="00AF1977"/>
    <w:rsid w:val="00AF1A0C"/>
    <w:rsid w:val="00AF21CC"/>
    <w:rsid w:val="00AF243A"/>
    <w:rsid w:val="00AF26F6"/>
    <w:rsid w:val="00AF32E8"/>
    <w:rsid w:val="00AF35D3"/>
    <w:rsid w:val="00AF37EF"/>
    <w:rsid w:val="00AF49F8"/>
    <w:rsid w:val="00AF5072"/>
    <w:rsid w:val="00AF50A8"/>
    <w:rsid w:val="00AF5989"/>
    <w:rsid w:val="00AF61B4"/>
    <w:rsid w:val="00AF66B1"/>
    <w:rsid w:val="00AF68F4"/>
    <w:rsid w:val="00AF6E87"/>
    <w:rsid w:val="00AF77F3"/>
    <w:rsid w:val="00B0090B"/>
    <w:rsid w:val="00B00989"/>
    <w:rsid w:val="00B00A80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3A4"/>
    <w:rsid w:val="00B05474"/>
    <w:rsid w:val="00B05AF7"/>
    <w:rsid w:val="00B05B66"/>
    <w:rsid w:val="00B05E81"/>
    <w:rsid w:val="00B05ECF"/>
    <w:rsid w:val="00B06250"/>
    <w:rsid w:val="00B066BF"/>
    <w:rsid w:val="00B07625"/>
    <w:rsid w:val="00B076F8"/>
    <w:rsid w:val="00B07ED4"/>
    <w:rsid w:val="00B07F6E"/>
    <w:rsid w:val="00B10410"/>
    <w:rsid w:val="00B11064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596C"/>
    <w:rsid w:val="00B17032"/>
    <w:rsid w:val="00B172C0"/>
    <w:rsid w:val="00B1743B"/>
    <w:rsid w:val="00B17AFF"/>
    <w:rsid w:val="00B17D10"/>
    <w:rsid w:val="00B17D2F"/>
    <w:rsid w:val="00B20522"/>
    <w:rsid w:val="00B20C00"/>
    <w:rsid w:val="00B20F7E"/>
    <w:rsid w:val="00B21050"/>
    <w:rsid w:val="00B210D1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240"/>
    <w:rsid w:val="00B314CD"/>
    <w:rsid w:val="00B31602"/>
    <w:rsid w:val="00B31C1C"/>
    <w:rsid w:val="00B3248E"/>
    <w:rsid w:val="00B32CDD"/>
    <w:rsid w:val="00B32E0C"/>
    <w:rsid w:val="00B330FE"/>
    <w:rsid w:val="00B337B6"/>
    <w:rsid w:val="00B340C2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66A"/>
    <w:rsid w:val="00B4095D"/>
    <w:rsid w:val="00B40970"/>
    <w:rsid w:val="00B40F74"/>
    <w:rsid w:val="00B41615"/>
    <w:rsid w:val="00B418ED"/>
    <w:rsid w:val="00B41A28"/>
    <w:rsid w:val="00B41C2A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220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314"/>
    <w:rsid w:val="00B54B95"/>
    <w:rsid w:val="00B55C35"/>
    <w:rsid w:val="00B56387"/>
    <w:rsid w:val="00B5698D"/>
    <w:rsid w:val="00B56ADF"/>
    <w:rsid w:val="00B56B9C"/>
    <w:rsid w:val="00B57019"/>
    <w:rsid w:val="00B570AD"/>
    <w:rsid w:val="00B57107"/>
    <w:rsid w:val="00B57238"/>
    <w:rsid w:val="00B57728"/>
    <w:rsid w:val="00B57E41"/>
    <w:rsid w:val="00B57EBA"/>
    <w:rsid w:val="00B606DD"/>
    <w:rsid w:val="00B60C9A"/>
    <w:rsid w:val="00B60DEF"/>
    <w:rsid w:val="00B60EF0"/>
    <w:rsid w:val="00B61AC7"/>
    <w:rsid w:val="00B61DD0"/>
    <w:rsid w:val="00B620ED"/>
    <w:rsid w:val="00B635D6"/>
    <w:rsid w:val="00B6374A"/>
    <w:rsid w:val="00B63B03"/>
    <w:rsid w:val="00B63C1B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29A9"/>
    <w:rsid w:val="00B738E4"/>
    <w:rsid w:val="00B73B29"/>
    <w:rsid w:val="00B74472"/>
    <w:rsid w:val="00B745F0"/>
    <w:rsid w:val="00B74BC8"/>
    <w:rsid w:val="00B75A79"/>
    <w:rsid w:val="00B75AFA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1D3A"/>
    <w:rsid w:val="00B8252F"/>
    <w:rsid w:val="00B830C2"/>
    <w:rsid w:val="00B83121"/>
    <w:rsid w:val="00B8317B"/>
    <w:rsid w:val="00B8361F"/>
    <w:rsid w:val="00B83781"/>
    <w:rsid w:val="00B83817"/>
    <w:rsid w:val="00B83841"/>
    <w:rsid w:val="00B84671"/>
    <w:rsid w:val="00B84681"/>
    <w:rsid w:val="00B84D19"/>
    <w:rsid w:val="00B84D4B"/>
    <w:rsid w:val="00B84E63"/>
    <w:rsid w:val="00B859A9"/>
    <w:rsid w:val="00B8690C"/>
    <w:rsid w:val="00B87146"/>
    <w:rsid w:val="00B871BE"/>
    <w:rsid w:val="00B87289"/>
    <w:rsid w:val="00B8797E"/>
    <w:rsid w:val="00B87E60"/>
    <w:rsid w:val="00B87F9F"/>
    <w:rsid w:val="00B90418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0F04"/>
    <w:rsid w:val="00BA16BF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0FD7"/>
    <w:rsid w:val="00BB1197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FB7"/>
    <w:rsid w:val="00BC202A"/>
    <w:rsid w:val="00BC2902"/>
    <w:rsid w:val="00BC29EE"/>
    <w:rsid w:val="00BC310B"/>
    <w:rsid w:val="00BC31C7"/>
    <w:rsid w:val="00BC31CE"/>
    <w:rsid w:val="00BC3B6D"/>
    <w:rsid w:val="00BC3D0B"/>
    <w:rsid w:val="00BC43E2"/>
    <w:rsid w:val="00BC4872"/>
    <w:rsid w:val="00BC4B1F"/>
    <w:rsid w:val="00BC53D3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5EC"/>
    <w:rsid w:val="00BD37AF"/>
    <w:rsid w:val="00BD3F61"/>
    <w:rsid w:val="00BD522F"/>
    <w:rsid w:val="00BD5520"/>
    <w:rsid w:val="00BD5EFA"/>
    <w:rsid w:val="00BD6097"/>
    <w:rsid w:val="00BD6469"/>
    <w:rsid w:val="00BD7314"/>
    <w:rsid w:val="00BD7F46"/>
    <w:rsid w:val="00BE01A8"/>
    <w:rsid w:val="00BE074B"/>
    <w:rsid w:val="00BE0AB2"/>
    <w:rsid w:val="00BE0AED"/>
    <w:rsid w:val="00BE1742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AB2"/>
    <w:rsid w:val="00BE6B31"/>
    <w:rsid w:val="00BE729D"/>
    <w:rsid w:val="00BE7D26"/>
    <w:rsid w:val="00BF002D"/>
    <w:rsid w:val="00BF00BE"/>
    <w:rsid w:val="00BF07A1"/>
    <w:rsid w:val="00BF0ADA"/>
    <w:rsid w:val="00BF1697"/>
    <w:rsid w:val="00BF1DD4"/>
    <w:rsid w:val="00BF1DF0"/>
    <w:rsid w:val="00BF1F49"/>
    <w:rsid w:val="00BF2263"/>
    <w:rsid w:val="00BF23DE"/>
    <w:rsid w:val="00BF4656"/>
    <w:rsid w:val="00BF4737"/>
    <w:rsid w:val="00BF4819"/>
    <w:rsid w:val="00BF4FEC"/>
    <w:rsid w:val="00BF5461"/>
    <w:rsid w:val="00BF57C0"/>
    <w:rsid w:val="00BF5932"/>
    <w:rsid w:val="00BF5955"/>
    <w:rsid w:val="00BF6957"/>
    <w:rsid w:val="00BF73CC"/>
    <w:rsid w:val="00BF790B"/>
    <w:rsid w:val="00BF7D70"/>
    <w:rsid w:val="00C0044B"/>
    <w:rsid w:val="00C008E0"/>
    <w:rsid w:val="00C0231A"/>
    <w:rsid w:val="00C02C56"/>
    <w:rsid w:val="00C02F94"/>
    <w:rsid w:val="00C03551"/>
    <w:rsid w:val="00C0367A"/>
    <w:rsid w:val="00C0399E"/>
    <w:rsid w:val="00C04161"/>
    <w:rsid w:val="00C042CC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903"/>
    <w:rsid w:val="00C10B88"/>
    <w:rsid w:val="00C10BE9"/>
    <w:rsid w:val="00C111F3"/>
    <w:rsid w:val="00C115D7"/>
    <w:rsid w:val="00C11C30"/>
    <w:rsid w:val="00C11E41"/>
    <w:rsid w:val="00C128F8"/>
    <w:rsid w:val="00C139A3"/>
    <w:rsid w:val="00C13D93"/>
    <w:rsid w:val="00C14E6D"/>
    <w:rsid w:val="00C15170"/>
    <w:rsid w:val="00C154DC"/>
    <w:rsid w:val="00C15A38"/>
    <w:rsid w:val="00C15AD8"/>
    <w:rsid w:val="00C15B2B"/>
    <w:rsid w:val="00C15C07"/>
    <w:rsid w:val="00C16103"/>
    <w:rsid w:val="00C162E3"/>
    <w:rsid w:val="00C16A2F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129"/>
    <w:rsid w:val="00C23598"/>
    <w:rsid w:val="00C2399D"/>
    <w:rsid w:val="00C23D60"/>
    <w:rsid w:val="00C23E7A"/>
    <w:rsid w:val="00C24030"/>
    <w:rsid w:val="00C240C3"/>
    <w:rsid w:val="00C25625"/>
    <w:rsid w:val="00C2567A"/>
    <w:rsid w:val="00C25684"/>
    <w:rsid w:val="00C2592D"/>
    <w:rsid w:val="00C25E69"/>
    <w:rsid w:val="00C263F4"/>
    <w:rsid w:val="00C26768"/>
    <w:rsid w:val="00C26D40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A69"/>
    <w:rsid w:val="00C41B3C"/>
    <w:rsid w:val="00C4237A"/>
    <w:rsid w:val="00C4276A"/>
    <w:rsid w:val="00C42DEF"/>
    <w:rsid w:val="00C43352"/>
    <w:rsid w:val="00C4368B"/>
    <w:rsid w:val="00C439DF"/>
    <w:rsid w:val="00C44505"/>
    <w:rsid w:val="00C44BE6"/>
    <w:rsid w:val="00C45117"/>
    <w:rsid w:val="00C4515E"/>
    <w:rsid w:val="00C45851"/>
    <w:rsid w:val="00C45DD3"/>
    <w:rsid w:val="00C4659B"/>
    <w:rsid w:val="00C46BE0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B0A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504D"/>
    <w:rsid w:val="00C56004"/>
    <w:rsid w:val="00C562D2"/>
    <w:rsid w:val="00C568C1"/>
    <w:rsid w:val="00C56AB5"/>
    <w:rsid w:val="00C56B52"/>
    <w:rsid w:val="00C56B8F"/>
    <w:rsid w:val="00C57039"/>
    <w:rsid w:val="00C576A3"/>
    <w:rsid w:val="00C5784B"/>
    <w:rsid w:val="00C605C8"/>
    <w:rsid w:val="00C606B8"/>
    <w:rsid w:val="00C6074F"/>
    <w:rsid w:val="00C609FB"/>
    <w:rsid w:val="00C611D3"/>
    <w:rsid w:val="00C616F1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41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1C63"/>
    <w:rsid w:val="00C71DF0"/>
    <w:rsid w:val="00C72563"/>
    <w:rsid w:val="00C72C1D"/>
    <w:rsid w:val="00C72EDA"/>
    <w:rsid w:val="00C746CF"/>
    <w:rsid w:val="00C74E84"/>
    <w:rsid w:val="00C74F52"/>
    <w:rsid w:val="00C76503"/>
    <w:rsid w:val="00C76520"/>
    <w:rsid w:val="00C76572"/>
    <w:rsid w:val="00C76887"/>
    <w:rsid w:val="00C769BF"/>
    <w:rsid w:val="00C76C83"/>
    <w:rsid w:val="00C77212"/>
    <w:rsid w:val="00C7726B"/>
    <w:rsid w:val="00C77E25"/>
    <w:rsid w:val="00C77E51"/>
    <w:rsid w:val="00C77EEC"/>
    <w:rsid w:val="00C800ED"/>
    <w:rsid w:val="00C800F5"/>
    <w:rsid w:val="00C81342"/>
    <w:rsid w:val="00C814B1"/>
    <w:rsid w:val="00C82576"/>
    <w:rsid w:val="00C84093"/>
    <w:rsid w:val="00C84546"/>
    <w:rsid w:val="00C846E2"/>
    <w:rsid w:val="00C84B9E"/>
    <w:rsid w:val="00C859B8"/>
    <w:rsid w:val="00C862FB"/>
    <w:rsid w:val="00C869EE"/>
    <w:rsid w:val="00C86B00"/>
    <w:rsid w:val="00C86B3A"/>
    <w:rsid w:val="00C86B7B"/>
    <w:rsid w:val="00C86F13"/>
    <w:rsid w:val="00C87054"/>
    <w:rsid w:val="00C8729A"/>
    <w:rsid w:val="00C87EA0"/>
    <w:rsid w:val="00C87EEA"/>
    <w:rsid w:val="00C90475"/>
    <w:rsid w:val="00C90783"/>
    <w:rsid w:val="00C909EE"/>
    <w:rsid w:val="00C916BD"/>
    <w:rsid w:val="00C9191E"/>
    <w:rsid w:val="00C91F1A"/>
    <w:rsid w:val="00C9209C"/>
    <w:rsid w:val="00C943E6"/>
    <w:rsid w:val="00C94DE2"/>
    <w:rsid w:val="00C94F98"/>
    <w:rsid w:val="00C951CA"/>
    <w:rsid w:val="00C95675"/>
    <w:rsid w:val="00C96100"/>
    <w:rsid w:val="00C961D8"/>
    <w:rsid w:val="00C963DD"/>
    <w:rsid w:val="00C96707"/>
    <w:rsid w:val="00C96792"/>
    <w:rsid w:val="00C96DE6"/>
    <w:rsid w:val="00C9752A"/>
    <w:rsid w:val="00C978B5"/>
    <w:rsid w:val="00CA0A13"/>
    <w:rsid w:val="00CA0A39"/>
    <w:rsid w:val="00CA0C55"/>
    <w:rsid w:val="00CA0E08"/>
    <w:rsid w:val="00CA0ED8"/>
    <w:rsid w:val="00CA16CC"/>
    <w:rsid w:val="00CA20C9"/>
    <w:rsid w:val="00CA23F7"/>
    <w:rsid w:val="00CA2507"/>
    <w:rsid w:val="00CA2C4D"/>
    <w:rsid w:val="00CA3CFC"/>
    <w:rsid w:val="00CA4C8E"/>
    <w:rsid w:val="00CA53BD"/>
    <w:rsid w:val="00CA573D"/>
    <w:rsid w:val="00CA5C37"/>
    <w:rsid w:val="00CA5E52"/>
    <w:rsid w:val="00CA64FE"/>
    <w:rsid w:val="00CA6C21"/>
    <w:rsid w:val="00CA6F52"/>
    <w:rsid w:val="00CA6FA2"/>
    <w:rsid w:val="00CA73E4"/>
    <w:rsid w:val="00CB05BE"/>
    <w:rsid w:val="00CB0792"/>
    <w:rsid w:val="00CB0B2A"/>
    <w:rsid w:val="00CB14A1"/>
    <w:rsid w:val="00CB1865"/>
    <w:rsid w:val="00CB2C2F"/>
    <w:rsid w:val="00CB3567"/>
    <w:rsid w:val="00CB3B2C"/>
    <w:rsid w:val="00CB44E4"/>
    <w:rsid w:val="00CB46AB"/>
    <w:rsid w:val="00CB4D46"/>
    <w:rsid w:val="00CB4E69"/>
    <w:rsid w:val="00CB5966"/>
    <w:rsid w:val="00CB5EE4"/>
    <w:rsid w:val="00CB6665"/>
    <w:rsid w:val="00CB70AA"/>
    <w:rsid w:val="00CB7989"/>
    <w:rsid w:val="00CC07CE"/>
    <w:rsid w:val="00CC0D26"/>
    <w:rsid w:val="00CC146F"/>
    <w:rsid w:val="00CC197E"/>
    <w:rsid w:val="00CC1B64"/>
    <w:rsid w:val="00CC27C3"/>
    <w:rsid w:val="00CC2820"/>
    <w:rsid w:val="00CC40DF"/>
    <w:rsid w:val="00CC4CF5"/>
    <w:rsid w:val="00CC4EB0"/>
    <w:rsid w:val="00CC4EB6"/>
    <w:rsid w:val="00CC5323"/>
    <w:rsid w:val="00CC59A4"/>
    <w:rsid w:val="00CC5A29"/>
    <w:rsid w:val="00CC733D"/>
    <w:rsid w:val="00CC7AD5"/>
    <w:rsid w:val="00CC7F77"/>
    <w:rsid w:val="00CC7FED"/>
    <w:rsid w:val="00CD0269"/>
    <w:rsid w:val="00CD04E7"/>
    <w:rsid w:val="00CD065B"/>
    <w:rsid w:val="00CD1267"/>
    <w:rsid w:val="00CD21AF"/>
    <w:rsid w:val="00CD23B0"/>
    <w:rsid w:val="00CD31B7"/>
    <w:rsid w:val="00CD32C3"/>
    <w:rsid w:val="00CD3BBB"/>
    <w:rsid w:val="00CD3E86"/>
    <w:rsid w:val="00CD3F12"/>
    <w:rsid w:val="00CD4681"/>
    <w:rsid w:val="00CD4753"/>
    <w:rsid w:val="00CD4840"/>
    <w:rsid w:val="00CD4D3B"/>
    <w:rsid w:val="00CD5917"/>
    <w:rsid w:val="00CD5D8A"/>
    <w:rsid w:val="00CD60DB"/>
    <w:rsid w:val="00CD6BE8"/>
    <w:rsid w:val="00CD6C8E"/>
    <w:rsid w:val="00CD72C3"/>
    <w:rsid w:val="00CD7DA6"/>
    <w:rsid w:val="00CD7E0A"/>
    <w:rsid w:val="00CE01DB"/>
    <w:rsid w:val="00CE0954"/>
    <w:rsid w:val="00CE11C2"/>
    <w:rsid w:val="00CE1306"/>
    <w:rsid w:val="00CE15D0"/>
    <w:rsid w:val="00CE1930"/>
    <w:rsid w:val="00CE2127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22F4"/>
    <w:rsid w:val="00CF2642"/>
    <w:rsid w:val="00CF2C10"/>
    <w:rsid w:val="00CF2C2B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910"/>
    <w:rsid w:val="00CF7C5C"/>
    <w:rsid w:val="00CF7E46"/>
    <w:rsid w:val="00D00505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A96"/>
    <w:rsid w:val="00D02E61"/>
    <w:rsid w:val="00D0408F"/>
    <w:rsid w:val="00D0460A"/>
    <w:rsid w:val="00D04CFE"/>
    <w:rsid w:val="00D05346"/>
    <w:rsid w:val="00D05907"/>
    <w:rsid w:val="00D06872"/>
    <w:rsid w:val="00D06E79"/>
    <w:rsid w:val="00D0722D"/>
    <w:rsid w:val="00D101B1"/>
    <w:rsid w:val="00D1127C"/>
    <w:rsid w:val="00D1129C"/>
    <w:rsid w:val="00D113BE"/>
    <w:rsid w:val="00D117B4"/>
    <w:rsid w:val="00D11DA6"/>
    <w:rsid w:val="00D11F70"/>
    <w:rsid w:val="00D1348E"/>
    <w:rsid w:val="00D13947"/>
    <w:rsid w:val="00D139D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829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23"/>
    <w:rsid w:val="00D22F63"/>
    <w:rsid w:val="00D238DF"/>
    <w:rsid w:val="00D2390A"/>
    <w:rsid w:val="00D23A35"/>
    <w:rsid w:val="00D24071"/>
    <w:rsid w:val="00D24347"/>
    <w:rsid w:val="00D24DBB"/>
    <w:rsid w:val="00D25109"/>
    <w:rsid w:val="00D25598"/>
    <w:rsid w:val="00D25C9D"/>
    <w:rsid w:val="00D25F28"/>
    <w:rsid w:val="00D26052"/>
    <w:rsid w:val="00D26D40"/>
    <w:rsid w:val="00D26EE9"/>
    <w:rsid w:val="00D26FB6"/>
    <w:rsid w:val="00D2738D"/>
    <w:rsid w:val="00D2739B"/>
    <w:rsid w:val="00D30AB8"/>
    <w:rsid w:val="00D31219"/>
    <w:rsid w:val="00D3160C"/>
    <w:rsid w:val="00D316FF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3C0E"/>
    <w:rsid w:val="00D34771"/>
    <w:rsid w:val="00D35684"/>
    <w:rsid w:val="00D356B9"/>
    <w:rsid w:val="00D3581D"/>
    <w:rsid w:val="00D35B3E"/>
    <w:rsid w:val="00D36078"/>
    <w:rsid w:val="00D36770"/>
    <w:rsid w:val="00D368E0"/>
    <w:rsid w:val="00D36917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DF5"/>
    <w:rsid w:val="00D41208"/>
    <w:rsid w:val="00D41314"/>
    <w:rsid w:val="00D419AA"/>
    <w:rsid w:val="00D419FA"/>
    <w:rsid w:val="00D41D90"/>
    <w:rsid w:val="00D42A4E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6B5C"/>
    <w:rsid w:val="00D57291"/>
    <w:rsid w:val="00D574AB"/>
    <w:rsid w:val="00D602B6"/>
    <w:rsid w:val="00D60DA2"/>
    <w:rsid w:val="00D613D8"/>
    <w:rsid w:val="00D619D1"/>
    <w:rsid w:val="00D61E34"/>
    <w:rsid w:val="00D61FC2"/>
    <w:rsid w:val="00D624FD"/>
    <w:rsid w:val="00D627BE"/>
    <w:rsid w:val="00D62800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1B4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BC1"/>
    <w:rsid w:val="00D72DBD"/>
    <w:rsid w:val="00D72E88"/>
    <w:rsid w:val="00D72E8F"/>
    <w:rsid w:val="00D7326B"/>
    <w:rsid w:val="00D732C8"/>
    <w:rsid w:val="00D745C1"/>
    <w:rsid w:val="00D75062"/>
    <w:rsid w:val="00D7579D"/>
    <w:rsid w:val="00D757EC"/>
    <w:rsid w:val="00D75830"/>
    <w:rsid w:val="00D75A94"/>
    <w:rsid w:val="00D75E4A"/>
    <w:rsid w:val="00D76D53"/>
    <w:rsid w:val="00D76FF1"/>
    <w:rsid w:val="00D7745C"/>
    <w:rsid w:val="00D77F20"/>
    <w:rsid w:val="00D801A2"/>
    <w:rsid w:val="00D81058"/>
    <w:rsid w:val="00D816A4"/>
    <w:rsid w:val="00D820D9"/>
    <w:rsid w:val="00D83499"/>
    <w:rsid w:val="00D836DF"/>
    <w:rsid w:val="00D838F6"/>
    <w:rsid w:val="00D83C8A"/>
    <w:rsid w:val="00D84014"/>
    <w:rsid w:val="00D849E6"/>
    <w:rsid w:val="00D84EF3"/>
    <w:rsid w:val="00D85320"/>
    <w:rsid w:val="00D85922"/>
    <w:rsid w:val="00D85BE4"/>
    <w:rsid w:val="00D85C42"/>
    <w:rsid w:val="00D85ECD"/>
    <w:rsid w:val="00D862A6"/>
    <w:rsid w:val="00D862AC"/>
    <w:rsid w:val="00D862AE"/>
    <w:rsid w:val="00D864F4"/>
    <w:rsid w:val="00D86B35"/>
    <w:rsid w:val="00D8716D"/>
    <w:rsid w:val="00D87F89"/>
    <w:rsid w:val="00D87FE5"/>
    <w:rsid w:val="00D90025"/>
    <w:rsid w:val="00D906F7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23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92B"/>
    <w:rsid w:val="00DA3A25"/>
    <w:rsid w:val="00DA3D4D"/>
    <w:rsid w:val="00DA3F43"/>
    <w:rsid w:val="00DA3F86"/>
    <w:rsid w:val="00DA410C"/>
    <w:rsid w:val="00DA4573"/>
    <w:rsid w:val="00DA4E3B"/>
    <w:rsid w:val="00DA4F9F"/>
    <w:rsid w:val="00DA5BFB"/>
    <w:rsid w:val="00DA5F69"/>
    <w:rsid w:val="00DA6D37"/>
    <w:rsid w:val="00DA6F21"/>
    <w:rsid w:val="00DA70B5"/>
    <w:rsid w:val="00DA73D9"/>
    <w:rsid w:val="00DA750C"/>
    <w:rsid w:val="00DB14F3"/>
    <w:rsid w:val="00DB197A"/>
    <w:rsid w:val="00DB1CAE"/>
    <w:rsid w:val="00DB1DE1"/>
    <w:rsid w:val="00DB2A86"/>
    <w:rsid w:val="00DB2B76"/>
    <w:rsid w:val="00DB378C"/>
    <w:rsid w:val="00DB3AB1"/>
    <w:rsid w:val="00DB422A"/>
    <w:rsid w:val="00DB4319"/>
    <w:rsid w:val="00DB432B"/>
    <w:rsid w:val="00DB45E7"/>
    <w:rsid w:val="00DB590B"/>
    <w:rsid w:val="00DB5AD4"/>
    <w:rsid w:val="00DB5D07"/>
    <w:rsid w:val="00DB5E71"/>
    <w:rsid w:val="00DB640E"/>
    <w:rsid w:val="00DB7021"/>
    <w:rsid w:val="00DB716A"/>
    <w:rsid w:val="00DB71BE"/>
    <w:rsid w:val="00DB787B"/>
    <w:rsid w:val="00DB78DB"/>
    <w:rsid w:val="00DB7959"/>
    <w:rsid w:val="00DB7996"/>
    <w:rsid w:val="00DC01BE"/>
    <w:rsid w:val="00DC01CA"/>
    <w:rsid w:val="00DC0BEA"/>
    <w:rsid w:val="00DC0CD9"/>
    <w:rsid w:val="00DC1306"/>
    <w:rsid w:val="00DC1486"/>
    <w:rsid w:val="00DC1E8E"/>
    <w:rsid w:val="00DC263B"/>
    <w:rsid w:val="00DC2B24"/>
    <w:rsid w:val="00DC3084"/>
    <w:rsid w:val="00DC32C3"/>
    <w:rsid w:val="00DC3A73"/>
    <w:rsid w:val="00DC3E2F"/>
    <w:rsid w:val="00DC4310"/>
    <w:rsid w:val="00DC442C"/>
    <w:rsid w:val="00DC5600"/>
    <w:rsid w:val="00DC6B48"/>
    <w:rsid w:val="00DC6F7B"/>
    <w:rsid w:val="00DC7184"/>
    <w:rsid w:val="00DC75B0"/>
    <w:rsid w:val="00DC7ACB"/>
    <w:rsid w:val="00DD0D96"/>
    <w:rsid w:val="00DD0DF9"/>
    <w:rsid w:val="00DD1131"/>
    <w:rsid w:val="00DD1239"/>
    <w:rsid w:val="00DD129D"/>
    <w:rsid w:val="00DD14FF"/>
    <w:rsid w:val="00DD18FB"/>
    <w:rsid w:val="00DD1DB1"/>
    <w:rsid w:val="00DD2907"/>
    <w:rsid w:val="00DD290E"/>
    <w:rsid w:val="00DD333D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4B"/>
    <w:rsid w:val="00DD76FE"/>
    <w:rsid w:val="00DE05F2"/>
    <w:rsid w:val="00DE0662"/>
    <w:rsid w:val="00DE17E0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5BA5"/>
    <w:rsid w:val="00DE6A0D"/>
    <w:rsid w:val="00DE7C55"/>
    <w:rsid w:val="00DF03BF"/>
    <w:rsid w:val="00DF0481"/>
    <w:rsid w:val="00DF138C"/>
    <w:rsid w:val="00DF1AB4"/>
    <w:rsid w:val="00DF1D17"/>
    <w:rsid w:val="00DF1D9F"/>
    <w:rsid w:val="00DF2162"/>
    <w:rsid w:val="00DF2511"/>
    <w:rsid w:val="00DF2D8F"/>
    <w:rsid w:val="00DF3024"/>
    <w:rsid w:val="00DF31AD"/>
    <w:rsid w:val="00DF3515"/>
    <w:rsid w:val="00DF3D26"/>
    <w:rsid w:val="00DF3DBA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545"/>
    <w:rsid w:val="00E0657C"/>
    <w:rsid w:val="00E06B85"/>
    <w:rsid w:val="00E0702B"/>
    <w:rsid w:val="00E071F1"/>
    <w:rsid w:val="00E10043"/>
    <w:rsid w:val="00E10346"/>
    <w:rsid w:val="00E105E8"/>
    <w:rsid w:val="00E10914"/>
    <w:rsid w:val="00E111CA"/>
    <w:rsid w:val="00E11F34"/>
    <w:rsid w:val="00E1203F"/>
    <w:rsid w:val="00E1210E"/>
    <w:rsid w:val="00E12320"/>
    <w:rsid w:val="00E1269D"/>
    <w:rsid w:val="00E1270F"/>
    <w:rsid w:val="00E13576"/>
    <w:rsid w:val="00E1377E"/>
    <w:rsid w:val="00E13E03"/>
    <w:rsid w:val="00E1426A"/>
    <w:rsid w:val="00E14FBE"/>
    <w:rsid w:val="00E15536"/>
    <w:rsid w:val="00E15BE6"/>
    <w:rsid w:val="00E15C1C"/>
    <w:rsid w:val="00E15C39"/>
    <w:rsid w:val="00E16878"/>
    <w:rsid w:val="00E16BFE"/>
    <w:rsid w:val="00E173D8"/>
    <w:rsid w:val="00E17453"/>
    <w:rsid w:val="00E177BD"/>
    <w:rsid w:val="00E17A2C"/>
    <w:rsid w:val="00E17E95"/>
    <w:rsid w:val="00E17F2C"/>
    <w:rsid w:val="00E20CD7"/>
    <w:rsid w:val="00E21359"/>
    <w:rsid w:val="00E218E8"/>
    <w:rsid w:val="00E21D45"/>
    <w:rsid w:val="00E221B1"/>
    <w:rsid w:val="00E22676"/>
    <w:rsid w:val="00E2271B"/>
    <w:rsid w:val="00E22949"/>
    <w:rsid w:val="00E233F8"/>
    <w:rsid w:val="00E23D72"/>
    <w:rsid w:val="00E2468C"/>
    <w:rsid w:val="00E2564A"/>
    <w:rsid w:val="00E25BAF"/>
    <w:rsid w:val="00E25D48"/>
    <w:rsid w:val="00E26025"/>
    <w:rsid w:val="00E26D74"/>
    <w:rsid w:val="00E2774B"/>
    <w:rsid w:val="00E27B05"/>
    <w:rsid w:val="00E27D26"/>
    <w:rsid w:val="00E30090"/>
    <w:rsid w:val="00E3112E"/>
    <w:rsid w:val="00E31268"/>
    <w:rsid w:val="00E312FC"/>
    <w:rsid w:val="00E319FF"/>
    <w:rsid w:val="00E31CB4"/>
    <w:rsid w:val="00E32E76"/>
    <w:rsid w:val="00E33131"/>
    <w:rsid w:val="00E335BD"/>
    <w:rsid w:val="00E33F17"/>
    <w:rsid w:val="00E3514C"/>
    <w:rsid w:val="00E35A12"/>
    <w:rsid w:val="00E35BD9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1B57"/>
    <w:rsid w:val="00E4255D"/>
    <w:rsid w:val="00E42DB2"/>
    <w:rsid w:val="00E42E57"/>
    <w:rsid w:val="00E42E95"/>
    <w:rsid w:val="00E4346A"/>
    <w:rsid w:val="00E434A9"/>
    <w:rsid w:val="00E434D9"/>
    <w:rsid w:val="00E440CA"/>
    <w:rsid w:val="00E44C18"/>
    <w:rsid w:val="00E4502A"/>
    <w:rsid w:val="00E455CF"/>
    <w:rsid w:val="00E455FE"/>
    <w:rsid w:val="00E45835"/>
    <w:rsid w:val="00E46330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04E"/>
    <w:rsid w:val="00E61367"/>
    <w:rsid w:val="00E618DC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67954"/>
    <w:rsid w:val="00E701B2"/>
    <w:rsid w:val="00E70204"/>
    <w:rsid w:val="00E7035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6D4"/>
    <w:rsid w:val="00E74F1E"/>
    <w:rsid w:val="00E764B1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09EA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1C8F"/>
    <w:rsid w:val="00E9227C"/>
    <w:rsid w:val="00E9254E"/>
    <w:rsid w:val="00E9267E"/>
    <w:rsid w:val="00E92AC9"/>
    <w:rsid w:val="00E92CBB"/>
    <w:rsid w:val="00E92FF2"/>
    <w:rsid w:val="00E939CE"/>
    <w:rsid w:val="00E93A3B"/>
    <w:rsid w:val="00E93EDE"/>
    <w:rsid w:val="00E94931"/>
    <w:rsid w:val="00E95C62"/>
    <w:rsid w:val="00E96242"/>
    <w:rsid w:val="00E963E5"/>
    <w:rsid w:val="00E964EF"/>
    <w:rsid w:val="00E966A2"/>
    <w:rsid w:val="00E9693D"/>
    <w:rsid w:val="00E9724B"/>
    <w:rsid w:val="00E97632"/>
    <w:rsid w:val="00E97690"/>
    <w:rsid w:val="00E97F9C"/>
    <w:rsid w:val="00EA015A"/>
    <w:rsid w:val="00EA048B"/>
    <w:rsid w:val="00EA2027"/>
    <w:rsid w:val="00EA210D"/>
    <w:rsid w:val="00EA26CB"/>
    <w:rsid w:val="00EA2D35"/>
    <w:rsid w:val="00EA2E48"/>
    <w:rsid w:val="00EA303D"/>
    <w:rsid w:val="00EA3198"/>
    <w:rsid w:val="00EA349E"/>
    <w:rsid w:val="00EA3A7F"/>
    <w:rsid w:val="00EA3B0B"/>
    <w:rsid w:val="00EA3D43"/>
    <w:rsid w:val="00EA4071"/>
    <w:rsid w:val="00EA427C"/>
    <w:rsid w:val="00EA45EF"/>
    <w:rsid w:val="00EA4BCC"/>
    <w:rsid w:val="00EA4E13"/>
    <w:rsid w:val="00EA4FE6"/>
    <w:rsid w:val="00EA58E7"/>
    <w:rsid w:val="00EA5B62"/>
    <w:rsid w:val="00EA5C61"/>
    <w:rsid w:val="00EA6056"/>
    <w:rsid w:val="00EA6814"/>
    <w:rsid w:val="00EA6F2E"/>
    <w:rsid w:val="00EA7CB8"/>
    <w:rsid w:val="00EA7D95"/>
    <w:rsid w:val="00EB0187"/>
    <w:rsid w:val="00EB060E"/>
    <w:rsid w:val="00EB131A"/>
    <w:rsid w:val="00EB13EA"/>
    <w:rsid w:val="00EB1CA8"/>
    <w:rsid w:val="00EB206C"/>
    <w:rsid w:val="00EB2377"/>
    <w:rsid w:val="00EB3EA6"/>
    <w:rsid w:val="00EB4184"/>
    <w:rsid w:val="00EB47CA"/>
    <w:rsid w:val="00EB4989"/>
    <w:rsid w:val="00EB4C94"/>
    <w:rsid w:val="00EB62AB"/>
    <w:rsid w:val="00EB73F3"/>
    <w:rsid w:val="00EB74EA"/>
    <w:rsid w:val="00EB770E"/>
    <w:rsid w:val="00EC0785"/>
    <w:rsid w:val="00EC0BA5"/>
    <w:rsid w:val="00EC0DEA"/>
    <w:rsid w:val="00EC0FCA"/>
    <w:rsid w:val="00EC1722"/>
    <w:rsid w:val="00EC1734"/>
    <w:rsid w:val="00EC1AE6"/>
    <w:rsid w:val="00EC1EA5"/>
    <w:rsid w:val="00EC2433"/>
    <w:rsid w:val="00EC2CF2"/>
    <w:rsid w:val="00EC33DD"/>
    <w:rsid w:val="00EC350F"/>
    <w:rsid w:val="00EC3834"/>
    <w:rsid w:val="00EC398E"/>
    <w:rsid w:val="00EC3AFF"/>
    <w:rsid w:val="00EC3E7E"/>
    <w:rsid w:val="00EC47C7"/>
    <w:rsid w:val="00EC4976"/>
    <w:rsid w:val="00EC541E"/>
    <w:rsid w:val="00EC5F44"/>
    <w:rsid w:val="00EC69CA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73"/>
    <w:rsid w:val="00ED14A9"/>
    <w:rsid w:val="00ED1505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36D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260"/>
    <w:rsid w:val="00EE63B0"/>
    <w:rsid w:val="00EE7674"/>
    <w:rsid w:val="00EF0CBF"/>
    <w:rsid w:val="00EF1057"/>
    <w:rsid w:val="00EF14DF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5A7E"/>
    <w:rsid w:val="00EF6435"/>
    <w:rsid w:val="00EF6497"/>
    <w:rsid w:val="00EF6A00"/>
    <w:rsid w:val="00EF7287"/>
    <w:rsid w:val="00EF7416"/>
    <w:rsid w:val="00EF7F70"/>
    <w:rsid w:val="00F00339"/>
    <w:rsid w:val="00F00F49"/>
    <w:rsid w:val="00F01154"/>
    <w:rsid w:val="00F012C5"/>
    <w:rsid w:val="00F01B0A"/>
    <w:rsid w:val="00F01C11"/>
    <w:rsid w:val="00F0203C"/>
    <w:rsid w:val="00F020BB"/>
    <w:rsid w:val="00F03BDE"/>
    <w:rsid w:val="00F03F47"/>
    <w:rsid w:val="00F043C8"/>
    <w:rsid w:val="00F045C9"/>
    <w:rsid w:val="00F04AFF"/>
    <w:rsid w:val="00F05049"/>
    <w:rsid w:val="00F05128"/>
    <w:rsid w:val="00F05445"/>
    <w:rsid w:val="00F057D0"/>
    <w:rsid w:val="00F05C35"/>
    <w:rsid w:val="00F06354"/>
    <w:rsid w:val="00F06940"/>
    <w:rsid w:val="00F06BEE"/>
    <w:rsid w:val="00F075FA"/>
    <w:rsid w:val="00F0765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42C8"/>
    <w:rsid w:val="00F15C27"/>
    <w:rsid w:val="00F15EE8"/>
    <w:rsid w:val="00F16135"/>
    <w:rsid w:val="00F16234"/>
    <w:rsid w:val="00F1630B"/>
    <w:rsid w:val="00F1675E"/>
    <w:rsid w:val="00F16CA3"/>
    <w:rsid w:val="00F16DC4"/>
    <w:rsid w:val="00F17444"/>
    <w:rsid w:val="00F176A0"/>
    <w:rsid w:val="00F202D4"/>
    <w:rsid w:val="00F20517"/>
    <w:rsid w:val="00F20ED0"/>
    <w:rsid w:val="00F21107"/>
    <w:rsid w:val="00F213D5"/>
    <w:rsid w:val="00F21848"/>
    <w:rsid w:val="00F21A4C"/>
    <w:rsid w:val="00F21ABD"/>
    <w:rsid w:val="00F2205F"/>
    <w:rsid w:val="00F22628"/>
    <w:rsid w:val="00F22661"/>
    <w:rsid w:val="00F2289F"/>
    <w:rsid w:val="00F23C5D"/>
    <w:rsid w:val="00F240BD"/>
    <w:rsid w:val="00F240CA"/>
    <w:rsid w:val="00F2420F"/>
    <w:rsid w:val="00F243CF"/>
    <w:rsid w:val="00F2507B"/>
    <w:rsid w:val="00F26AA1"/>
    <w:rsid w:val="00F2770E"/>
    <w:rsid w:val="00F278B0"/>
    <w:rsid w:val="00F27D41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A9C"/>
    <w:rsid w:val="00F33CDB"/>
    <w:rsid w:val="00F34B18"/>
    <w:rsid w:val="00F354D4"/>
    <w:rsid w:val="00F35E65"/>
    <w:rsid w:val="00F365A4"/>
    <w:rsid w:val="00F368E2"/>
    <w:rsid w:val="00F36F27"/>
    <w:rsid w:val="00F3700F"/>
    <w:rsid w:val="00F37065"/>
    <w:rsid w:val="00F3717C"/>
    <w:rsid w:val="00F40BEC"/>
    <w:rsid w:val="00F40FF7"/>
    <w:rsid w:val="00F41330"/>
    <w:rsid w:val="00F4181F"/>
    <w:rsid w:val="00F41AA8"/>
    <w:rsid w:val="00F4246F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269"/>
    <w:rsid w:val="00F46580"/>
    <w:rsid w:val="00F4698D"/>
    <w:rsid w:val="00F46EFF"/>
    <w:rsid w:val="00F47655"/>
    <w:rsid w:val="00F50FBC"/>
    <w:rsid w:val="00F511BF"/>
    <w:rsid w:val="00F51C61"/>
    <w:rsid w:val="00F51D9D"/>
    <w:rsid w:val="00F52405"/>
    <w:rsid w:val="00F53988"/>
    <w:rsid w:val="00F5409A"/>
    <w:rsid w:val="00F54596"/>
    <w:rsid w:val="00F54BB9"/>
    <w:rsid w:val="00F54C24"/>
    <w:rsid w:val="00F55D32"/>
    <w:rsid w:val="00F55EF1"/>
    <w:rsid w:val="00F571CB"/>
    <w:rsid w:val="00F57C0F"/>
    <w:rsid w:val="00F6007A"/>
    <w:rsid w:val="00F60406"/>
    <w:rsid w:val="00F60CCB"/>
    <w:rsid w:val="00F60EC1"/>
    <w:rsid w:val="00F60EC5"/>
    <w:rsid w:val="00F60F56"/>
    <w:rsid w:val="00F60F57"/>
    <w:rsid w:val="00F6183E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5422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491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5BCC"/>
    <w:rsid w:val="00F7617C"/>
    <w:rsid w:val="00F76AE4"/>
    <w:rsid w:val="00F7727C"/>
    <w:rsid w:val="00F77FDE"/>
    <w:rsid w:val="00F80114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293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865"/>
    <w:rsid w:val="00F86D18"/>
    <w:rsid w:val="00F87507"/>
    <w:rsid w:val="00F87E5F"/>
    <w:rsid w:val="00F901C1"/>
    <w:rsid w:val="00F9097A"/>
    <w:rsid w:val="00F90AA8"/>
    <w:rsid w:val="00F9110A"/>
    <w:rsid w:val="00F91F4F"/>
    <w:rsid w:val="00F92469"/>
    <w:rsid w:val="00F927B9"/>
    <w:rsid w:val="00F93090"/>
    <w:rsid w:val="00F9371C"/>
    <w:rsid w:val="00F93874"/>
    <w:rsid w:val="00F942B4"/>
    <w:rsid w:val="00F947BF"/>
    <w:rsid w:val="00F9492E"/>
    <w:rsid w:val="00F94B28"/>
    <w:rsid w:val="00F94FFF"/>
    <w:rsid w:val="00F95284"/>
    <w:rsid w:val="00F95617"/>
    <w:rsid w:val="00F960B5"/>
    <w:rsid w:val="00F9654F"/>
    <w:rsid w:val="00F96579"/>
    <w:rsid w:val="00F96A50"/>
    <w:rsid w:val="00F96EF1"/>
    <w:rsid w:val="00F977B8"/>
    <w:rsid w:val="00F97B16"/>
    <w:rsid w:val="00F97BE9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76C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9D2"/>
    <w:rsid w:val="00FA4F77"/>
    <w:rsid w:val="00FA533E"/>
    <w:rsid w:val="00FA59F1"/>
    <w:rsid w:val="00FA5B15"/>
    <w:rsid w:val="00FA679F"/>
    <w:rsid w:val="00FA6C8B"/>
    <w:rsid w:val="00FA7916"/>
    <w:rsid w:val="00FB0504"/>
    <w:rsid w:val="00FB0817"/>
    <w:rsid w:val="00FB102F"/>
    <w:rsid w:val="00FB10BF"/>
    <w:rsid w:val="00FB26D3"/>
    <w:rsid w:val="00FB33F4"/>
    <w:rsid w:val="00FB3832"/>
    <w:rsid w:val="00FB4075"/>
    <w:rsid w:val="00FB410D"/>
    <w:rsid w:val="00FB41D3"/>
    <w:rsid w:val="00FB4F1E"/>
    <w:rsid w:val="00FB57CB"/>
    <w:rsid w:val="00FB5802"/>
    <w:rsid w:val="00FB5CAA"/>
    <w:rsid w:val="00FB5F31"/>
    <w:rsid w:val="00FB6407"/>
    <w:rsid w:val="00FB6626"/>
    <w:rsid w:val="00FB6F83"/>
    <w:rsid w:val="00FB73CA"/>
    <w:rsid w:val="00FB78AD"/>
    <w:rsid w:val="00FB7F26"/>
    <w:rsid w:val="00FC0282"/>
    <w:rsid w:val="00FC061B"/>
    <w:rsid w:val="00FC0D4F"/>
    <w:rsid w:val="00FC0E24"/>
    <w:rsid w:val="00FC1E27"/>
    <w:rsid w:val="00FC3245"/>
    <w:rsid w:val="00FC3295"/>
    <w:rsid w:val="00FC3498"/>
    <w:rsid w:val="00FC3E27"/>
    <w:rsid w:val="00FC3FFE"/>
    <w:rsid w:val="00FC4001"/>
    <w:rsid w:val="00FC4C82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C7EB2"/>
    <w:rsid w:val="00FD0E5C"/>
    <w:rsid w:val="00FD121D"/>
    <w:rsid w:val="00FD1726"/>
    <w:rsid w:val="00FD198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5BEC"/>
    <w:rsid w:val="00FD62D0"/>
    <w:rsid w:val="00FD6706"/>
    <w:rsid w:val="00FD6F2E"/>
    <w:rsid w:val="00FD709D"/>
    <w:rsid w:val="00FD74FE"/>
    <w:rsid w:val="00FD7E0A"/>
    <w:rsid w:val="00FE023B"/>
    <w:rsid w:val="00FE0C61"/>
    <w:rsid w:val="00FE0DF7"/>
    <w:rsid w:val="00FE1EDF"/>
    <w:rsid w:val="00FE1F66"/>
    <w:rsid w:val="00FE292A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B7B"/>
    <w:rsid w:val="00FF2D03"/>
    <w:rsid w:val="00FF3069"/>
    <w:rsid w:val="00FF33C9"/>
    <w:rsid w:val="00FF3A2B"/>
    <w:rsid w:val="00FF4209"/>
    <w:rsid w:val="00FF4441"/>
    <w:rsid w:val="00FF4A17"/>
    <w:rsid w:val="00FF4C89"/>
    <w:rsid w:val="00FF5BFB"/>
    <w:rsid w:val="00FF5DC9"/>
    <w:rsid w:val="00FF5EF4"/>
    <w:rsid w:val="00FF6235"/>
    <w:rsid w:val="00FF6B39"/>
    <w:rsid w:val="00FF6F5D"/>
    <w:rsid w:val="00FF738D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E0CCBF1C-55CA-44F3-B820-E3D00AF5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745C1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2F09A3"/>
    <w:pPr>
      <w:numPr>
        <w:numId w:val="2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2F09A3"/>
    <w:rPr>
      <w:b/>
      <w:bCs/>
      <w:i/>
      <w:iCs/>
      <w:spacing w:val="5"/>
    </w:rPr>
  </w:style>
  <w:style w:type="character" w:customStyle="1" w:styleId="SzvegtrzsChar">
    <w:name w:val="Szövegtörzs Char"/>
    <w:basedOn w:val="Bekezdsalapbettpusa"/>
    <w:link w:val="Szvegtrzs"/>
    <w:rsid w:val="00C71DF0"/>
    <w:rPr>
      <w:sz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3386A"/>
    <w:rPr>
      <w:color w:val="605E5C"/>
      <w:shd w:val="clear" w:color="auto" w:fill="E1DFDD"/>
    </w:rPr>
  </w:style>
  <w:style w:type="paragraph" w:customStyle="1" w:styleId="1">
    <w:name w:val="1"/>
    <w:basedOn w:val="Norml"/>
    <w:rsid w:val="00835BAE"/>
    <w:pPr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harCharCharChar0">
    <w:name w:val="Char Char Char Char"/>
    <w:basedOn w:val="Norml"/>
    <w:rsid w:val="0072194E"/>
    <w:pPr>
      <w:widowControl w:val="0"/>
      <w:suppressAutoHyphens/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Tahoma" w:eastAsia="Lucida Sans Unicode" w:hAnsi="Tahoma"/>
      <w:sz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934770"/>
    <w:rPr>
      <w:color w:val="605E5C"/>
      <w:shd w:val="clear" w:color="auto" w:fill="E1DFDD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032825"/>
    <w:pPr>
      <w:widowControl w:val="0"/>
      <w:suppressAutoHyphens/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Tahoma" w:eastAsia="Lucida Sans Unicode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BA32-26F4-4AD0-BBB1-3ACDA6FC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3010</TotalTime>
  <Pages>10</Pages>
  <Words>2644</Words>
  <Characters>18249</Characters>
  <Application>Microsoft Office Word</Application>
  <DocSecurity>0</DocSecurity>
  <Lines>152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20852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Máté Köblös</cp:lastModifiedBy>
  <cp:revision>100</cp:revision>
  <cp:lastPrinted>2025-10-21T11:25:00Z</cp:lastPrinted>
  <dcterms:created xsi:type="dcterms:W3CDTF">2025-06-19T13:59:00Z</dcterms:created>
  <dcterms:modified xsi:type="dcterms:W3CDTF">2025-10-22T11:33:00Z</dcterms:modified>
</cp:coreProperties>
</file>